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85725</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113665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001-14875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83185</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4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40"/>
          <w:szCs w:val="40"/>
          <w:b w:val="1"/>
          <w:bCs w:val="1"/>
          <w:color w:val="auto"/>
        </w:rPr>
        <w:t>FTI CONSULTING,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236220</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52-1261113</w:t>
            </w:r>
          </w:p>
        </w:tc>
      </w:tr>
      <w:tr>
        <w:trPr>
          <w:trHeight w:val="146"/>
        </w:trPr>
        <w:tc>
          <w:tcPr>
            <w:tcW w:w="300" w:type="dxa"/>
            <w:vAlign w:val="bottom"/>
          </w:tcPr>
          <w:p>
            <w:pPr>
              <w:spacing w:after="0"/>
              <w:rPr>
                <w:sz w:val="12"/>
                <w:szCs w:val="12"/>
                <w:color w:val="auto"/>
              </w:rPr>
            </w:pPr>
          </w:p>
        </w:tc>
        <w:tc>
          <w:tcPr>
            <w:tcW w:w="4260" w:type="dxa"/>
            <w:vAlign w:val="bottom"/>
            <w:gridSpan w:val="3"/>
          </w:tcPr>
          <w:p>
            <w:pPr>
              <w:jc w:val="center"/>
              <w:ind w:left="47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jc w:val="center"/>
              <w:ind w:right="172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 w:type="dxa"/>
            <w:vAlign w:val="bottom"/>
          </w:tcPr>
          <w:p>
            <w:pPr>
              <w:spacing w:after="0"/>
              <w:rPr>
                <w:sz w:val="16"/>
                <w:szCs w:val="16"/>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00" w:type="dxa"/>
            <w:vAlign w:val="bottom"/>
          </w:tcPr>
          <w:p>
            <w:pPr>
              <w:spacing w:after="0"/>
              <w:rPr>
                <w:sz w:val="24"/>
                <w:szCs w:val="24"/>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8"/>
              </w:rPr>
              <w:t>555 12th Street NW</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rPr>
              <w:t>Washington,</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27"/>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9"/>
              </w:rPr>
              <w:t>DC</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20004</w:t>
            </w:r>
          </w:p>
        </w:tc>
      </w:tr>
      <w:tr>
        <w:trPr>
          <w:trHeight w:val="190"/>
        </w:trPr>
        <w:tc>
          <w:tcPr>
            <w:tcW w:w="300" w:type="dxa"/>
            <w:vAlign w:val="bottom"/>
          </w:tcPr>
          <w:p>
            <w:pPr>
              <w:spacing w:after="0"/>
              <w:rPr>
                <w:sz w:val="16"/>
                <w:szCs w:val="16"/>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 312-9100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5"/>
        </w:trPr>
        <w:tc>
          <w:tcPr>
            <w:tcW w:w="300" w:type="dxa"/>
            <w:vAlign w:val="bottom"/>
          </w:tcPr>
          <w:p>
            <w:pPr>
              <w:spacing w:after="0"/>
              <w:rPr>
                <w:sz w:val="19"/>
                <w:szCs w:val="19"/>
                <w:color w:val="auto"/>
              </w:rPr>
            </w:pPr>
          </w:p>
        </w:tc>
        <w:tc>
          <w:tcPr>
            <w:tcW w:w="106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331"/>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700" w:type="dxa"/>
            <w:vAlign w:val="bottom"/>
            <w:tcBorders>
              <w:top w:val="single" w:sz="8" w:color="auto"/>
            </w:tcBorders>
            <w:gridSpan w:val="2"/>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327"/>
        </w:trPr>
        <w:tc>
          <w:tcPr>
            <w:tcW w:w="300" w:type="dxa"/>
            <w:vAlign w:val="bottom"/>
          </w:tcPr>
          <w:p>
            <w:pPr>
              <w:spacing w:after="0"/>
              <w:rPr>
                <w:sz w:val="24"/>
                <w:szCs w:val="24"/>
                <w:color w:val="auto"/>
              </w:rPr>
            </w:pPr>
          </w:p>
        </w:tc>
        <w:tc>
          <w:tcPr>
            <w:tcW w:w="4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80" w:type="dxa"/>
            <w:vAlign w:val="bottom"/>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00" w:type="dxa"/>
            <w:vAlign w:val="bottom"/>
          </w:tcPr>
          <w:p>
            <w:pPr>
              <w:spacing w:after="0"/>
              <w:rPr>
                <w:sz w:val="18"/>
                <w:szCs w:val="18"/>
                <w:color w:val="auto"/>
              </w:rPr>
            </w:pPr>
          </w:p>
        </w:tc>
        <w:tc>
          <w:tcPr>
            <w:tcW w:w="40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0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FCN</w:t>
            </w: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71" w:lineRule="exact"/>
        <w:rPr>
          <w:sz w:val="24"/>
          <w:szCs w:val="24"/>
          <w:color w:val="auto"/>
        </w:rPr>
      </w:pPr>
    </w:p>
    <w:p>
      <w:pPr>
        <w:ind w:right="200" w:firstLine="486"/>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20" w:firstLine="48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10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18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820" w:type="dxa"/>
            <w:vAlign w:val="bottom"/>
          </w:tcPr>
          <w:p>
            <w:pPr>
              <w:spacing w:after="0"/>
              <w:rPr>
                <w:sz w:val="16"/>
                <w:szCs w:val="16"/>
                <w:color w:val="auto"/>
              </w:rPr>
            </w:pPr>
          </w:p>
        </w:tc>
        <w:tc>
          <w:tcPr>
            <w:tcW w:w="4180" w:type="dxa"/>
            <w:vAlign w:val="bottom"/>
            <w:gridSpan w:val="2"/>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Outstanding at October 22, 2026</w:t>
            </w:r>
          </w:p>
        </w:tc>
      </w:tr>
      <w:tr>
        <w:trPr>
          <w:trHeight w:val="20"/>
        </w:trPr>
        <w:tc>
          <w:tcPr>
            <w:tcW w:w="2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0"/>
        </w:trPr>
        <w:tc>
          <w:tcPr>
            <w:tcW w:w="706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27,254,187</w:t>
            </w:r>
          </w:p>
        </w:tc>
        <w:tc>
          <w:tcPr>
            <w:tcW w:w="1920" w:type="dxa"/>
            <w:vAlign w:val="bottom"/>
          </w:tcPr>
          <w:p>
            <w:pPr>
              <w:spacing w:after="0"/>
              <w:rPr>
                <w:sz w:val="20"/>
                <w:szCs w:val="20"/>
                <w:color w:val="auto"/>
              </w:rPr>
            </w:pPr>
          </w:p>
        </w:tc>
      </w:tr>
      <w:tr>
        <w:trPr>
          <w:trHeight w:val="155"/>
        </w:trPr>
        <w:tc>
          <w:tcPr>
            <w:tcW w:w="2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608"/>
        </w:trPr>
        <w:tc>
          <w:tcPr>
            <w:tcW w:w="2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60"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ectPr>
          <w:pgSz w:w="11900" w:h="16838" w:orient="portrait"/>
          <w:cols w:equalWidth="0" w:num="1">
            <w:col w:w="11240"/>
          </w:cols>
          <w:pgMar w:left="320" w:top="887" w:right="339" w:bottom="1440" w:gutter="0" w:footer="0" w:header="0"/>
        </w:sectPr>
      </w:pPr>
    </w:p>
    <w:p>
      <w:pPr>
        <w:spacing w:after="0" w:line="7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Sheets—September 30, 2026 and December 31, 2025</w:t>
      </w:r>
    </w:p>
    <w:p>
      <w:pPr>
        <w:spacing w:after="0" w:line="9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u w:val="single" w:color="auto"/>
          <w:color w:val="0000FF"/>
        </w:rPr>
        <w:t>Condensed Consolidated Statements of Comprehensive Income—Three and Nine Months Ended September 30, 2026 and 2025</w:t>
      </w:r>
    </w:p>
    <w:p>
      <w:pPr>
        <w:spacing w:after="0" w:line="19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Equity—Three and Nine Months Ended September 30, 2026 and 2025</w:t>
      </w:r>
    </w:p>
    <w:p>
      <w:pPr>
        <w:spacing w:after="0" w:line="171" w:lineRule="exact"/>
        <w:rPr>
          <w:sz w:val="20"/>
          <w:szCs w:val="20"/>
          <w:color w:val="auto"/>
        </w:rPr>
      </w:pPr>
    </w:p>
    <w:p>
      <w:pPr>
        <w:ind w:left="1060" w:right="1720"/>
        <w:spacing w:after="0" w:line="328"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Flows—Nine Months Ended September 30, 2026 and 2025 Notes to Condensed Consolidated Financial Statements</w:t>
      </w:r>
    </w:p>
    <w:p>
      <w:pPr>
        <w:spacing w:after="0" w:line="1"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77"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77"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II—OTHER INFORMATION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w:t>
      </w:r>
    </w:p>
    <w:p>
      <w:pPr>
        <w:spacing w:after="0" w:line="346" w:lineRule="exact"/>
        <w:rPr>
          <w:sz w:val="20"/>
          <w:szCs w:val="20"/>
          <w:color w:val="auto"/>
        </w:rPr>
      </w:pPr>
    </w:p>
    <w:p>
      <w:pPr>
        <w:sectPr>
          <w:pgSz w:w="11900" w:h="16838" w:orient="portrait"/>
          <w:cols w:equalWidth="0" w:num="2">
            <w:col w:w="10320" w:space="720"/>
            <w:col w:w="20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4"/>
        </w:trPr>
        <w:tc>
          <w:tcPr>
            <w:tcW w:w="2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3100" w:type="dxa"/>
            <w:vAlign w:val="bottom"/>
            <w:gridSpan w:val="4"/>
          </w:tcPr>
          <w:p>
            <w:pPr>
              <w:spacing w:after="0"/>
              <w:rPr>
                <w:sz w:val="22"/>
                <w:szCs w:val="22"/>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80" w:type="dxa"/>
            <w:vAlign w:val="bottom"/>
          </w:tcPr>
          <w:p>
            <w:pPr>
              <w:spacing w:after="0"/>
              <w:rPr>
                <w:sz w:val="22"/>
                <w:szCs w:val="22"/>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4"/>
        </w:trPr>
        <w:tc>
          <w:tcPr>
            <w:tcW w:w="2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100" w:type="dxa"/>
            <w:vAlign w:val="bottom"/>
            <w:gridSpan w:val="2"/>
          </w:tcPr>
          <w:p>
            <w:pPr>
              <w:spacing w:after="0"/>
              <w:rPr>
                <w:sz w:val="22"/>
                <w:szCs w:val="22"/>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4"/>
        </w:trPr>
        <w:tc>
          <w:tcPr>
            <w:tcW w:w="2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660" w:type="dxa"/>
            <w:vAlign w:val="bottom"/>
            <w:gridSpan w:val="3"/>
          </w:tcPr>
          <w:p>
            <w:pPr>
              <w:spacing w:after="0"/>
              <w:rPr>
                <w:sz w:val="22"/>
                <w:szCs w:val="22"/>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3120" w:type="dxa"/>
            <w:vAlign w:val="bottom"/>
            <w:gridSpan w:val="5"/>
          </w:tcPr>
          <w:p>
            <w:pPr>
              <w:spacing w:after="0"/>
              <w:rPr>
                <w:sz w:val="22"/>
                <w:szCs w:val="22"/>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20" w:type="dxa"/>
            <w:vAlign w:val="bottom"/>
          </w:tcPr>
          <w:p>
            <w:pPr>
              <w:spacing w:after="0"/>
              <w:rPr>
                <w:sz w:val="22"/>
                <w:szCs w:val="22"/>
                <w:color w:val="auto"/>
              </w:rPr>
            </w:pPr>
          </w:p>
        </w:tc>
        <w:tc>
          <w:tcPr>
            <w:tcW w:w="54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871"/>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77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77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FTI Consulting, Inc. and Subsidiaries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620" w:type="dxa"/>
            <w:vAlign w:val="bottom"/>
          </w:tcPr>
          <w:p>
            <w:pPr>
              <w:spacing w:after="0"/>
              <w:rPr>
                <w:sz w:val="24"/>
                <w:szCs w:val="24"/>
                <w:color w:val="auto"/>
              </w:rPr>
            </w:pPr>
          </w:p>
        </w:tc>
        <w:tc>
          <w:tcPr>
            <w:tcW w:w="77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770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3"/>
        </w:trPr>
        <w:tc>
          <w:tcPr>
            <w:tcW w:w="6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6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6"/>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265,091</w:t>
            </w:r>
          </w:p>
        </w:tc>
      </w:tr>
      <w:tr>
        <w:trPr>
          <w:trHeight w:val="229"/>
        </w:trPr>
        <w:tc>
          <w:tcPr>
            <w:tcW w:w="8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1,037,678</w:t>
            </w: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87,861</w:t>
            </w:r>
          </w:p>
        </w:tc>
      </w:tr>
      <w:tr>
        <w:trPr>
          <w:trHeight w:val="229"/>
        </w:trPr>
        <w:tc>
          <w:tcPr>
            <w:tcW w:w="8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126,997</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1,517,627</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169,333</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201,492</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1,242,777</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receivable,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250,667</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95,085</w:t>
            </w:r>
          </w:p>
        </w:tc>
      </w:tr>
      <w:tr>
        <w:trPr>
          <w:trHeight w:val="223"/>
        </w:trPr>
        <w:tc>
          <w:tcPr>
            <w:tcW w:w="62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3,459,655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3,490,528</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206,247</w:t>
            </w:r>
          </w:p>
        </w:tc>
      </w:tr>
      <w:tr>
        <w:trPr>
          <w:trHeight w:val="230"/>
        </w:trPr>
        <w:tc>
          <w:tcPr>
            <w:tcW w:w="8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712,335</w:t>
            </w:r>
          </w:p>
        </w:tc>
      </w:tr>
      <w:tr>
        <w:trPr>
          <w:trHeight w:val="229"/>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r>
      <w:tr>
        <w:trPr>
          <w:trHeight w:val="223"/>
        </w:trPr>
        <w:tc>
          <w:tcPr>
            <w:tcW w:w="62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975,189</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224,510</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99,611</w:t>
            </w:r>
          </w:p>
        </w:tc>
      </w:tr>
      <w:tr>
        <w:trPr>
          <w:trHeight w:val="230"/>
        </w:trPr>
        <w:tc>
          <w:tcPr>
            <w:tcW w:w="8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92,487</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1,756,797</w:t>
            </w:r>
          </w:p>
        </w:tc>
      </w:tr>
      <w:tr>
        <w:trPr>
          <w:trHeight w:val="21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4"/>
        </w:trPr>
        <w:tc>
          <w:tcPr>
            <w:tcW w:w="8320" w:type="dxa"/>
            <w:vAlign w:val="bottom"/>
            <w:gridSpan w:val="2"/>
          </w:tcPr>
          <w:p>
            <w:pPr>
              <w:ind w:left="520"/>
              <w:spacing w:after="0" w:line="184" w:lineRule="exact"/>
              <w:rPr>
                <w:sz w:val="20"/>
                <w:szCs w:val="20"/>
                <w:color w:val="auto"/>
              </w:rPr>
            </w:pPr>
            <w:r>
              <w:rPr>
                <w:rFonts w:ascii="Times New Roman" w:cs="Times New Roman" w:eastAsia="Times New Roman" w:hAnsi="Times New Roman"/>
                <w:sz w:val="18"/>
                <w:szCs w:val="18"/>
                <w:color w:val="auto"/>
              </w:rPr>
              <w:t>Preferred stock, $0.01 par value; shares authorized — 5,000; none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320" w:type="dxa"/>
            <w:vAlign w:val="bottom"/>
            <w:gridSpan w:val="2"/>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Common stock, $0.01 par value; shares authorized — 75,000; shares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620" w:type="dxa"/>
            <w:vAlign w:val="bottom"/>
            <w:shd w:val="clear" w:color="auto" w:fill="CCEEFF"/>
          </w:tcPr>
          <w:p>
            <w:pPr>
              <w:spacing w:after="0"/>
              <w:rPr>
                <w:sz w:val="20"/>
                <w:szCs w:val="20"/>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issued and outstanding — 27,247 (2026) and 30,864 (2025)</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8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1,862,672</w:t>
            </w:r>
          </w:p>
        </w:tc>
      </w:tr>
      <w:tr>
        <w:trPr>
          <w:trHeight w:val="230"/>
        </w:trPr>
        <w:tc>
          <w:tcPr>
            <w:tcW w:w="8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(129,604)</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1,733,731</w:t>
            </w:r>
          </w:p>
        </w:tc>
      </w:tr>
      <w:tr>
        <w:trPr>
          <w:trHeight w:val="223"/>
        </w:trPr>
        <w:tc>
          <w:tcPr>
            <w:tcW w:w="620" w:type="dxa"/>
            <w:vAlign w:val="bottom"/>
          </w:tcPr>
          <w:p>
            <w:pPr>
              <w:spacing w:after="0"/>
              <w:rPr>
                <w:sz w:val="19"/>
                <w:szCs w:val="19"/>
                <w:color w:val="auto"/>
              </w:rPr>
            </w:pPr>
          </w:p>
        </w:tc>
        <w:tc>
          <w:tcPr>
            <w:tcW w:w="77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3,459,655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3,490,528</w:t>
            </w:r>
          </w:p>
        </w:tc>
      </w:tr>
      <w:tr>
        <w:trPr>
          <w:trHeight w:val="20"/>
        </w:trPr>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2,989,372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1,888,302</w:t>
            </w:r>
          </w:p>
        </w:tc>
        <w:tc>
          <w:tcPr>
            <w:tcW w:w="0" w:type="dxa"/>
            <w:vAlign w:val="bottom"/>
          </w:tcPr>
          <w:p>
            <w:pPr>
              <w:spacing w:after="0"/>
              <w:rPr>
                <w:sz w:val="1"/>
                <w:szCs w:val="1"/>
                <w:color w:val="auto"/>
              </w:rPr>
            </w:pPr>
          </w:p>
        </w:tc>
      </w:tr>
      <w:tr>
        <w:trPr>
          <w:trHeight w:val="27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586,023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2,502,470</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258,778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284,248</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32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expense of $0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259,771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34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1,733,731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(128,194)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(128,202)</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119,248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(119,248)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1,801,055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1,661,699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57,810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57,810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(394,727)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(394,753)</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11,443</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385,336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(385,336)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1,333,950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63,449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63,449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(80,099)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(80,104)</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1,323,220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34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(187,676)</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2,149,638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71,698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71,698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(358,240)</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355,206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(355,206)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1,899,881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(236,330)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(236,344)</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228,114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(228,114)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1,749,655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6" w:name="page7"/>
    <w:bookmarkEnd w:id="6"/>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notes receivable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tax equity investment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billed and unbilled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(122,707)</w:t>
            </w:r>
          </w:p>
        </w:tc>
        <w:tc>
          <w:tcPr>
            <w:tcW w:w="0" w:type="dxa"/>
            <w:vAlign w:val="bottom"/>
          </w:tcPr>
          <w:p>
            <w:pPr>
              <w:spacing w:after="0"/>
              <w:rPr>
                <w:sz w:val="1"/>
                <w:szCs w:val="1"/>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Notes receivable, net of repayments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(207,624)</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for tax equity investment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term loan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and retirement of common stock, including excise tax</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(770,889)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tax withholdings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Deposits and 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(514,526)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660,493</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paid for income taxes and tax credits, net of refunds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Issuance of stock units under incentive compensation plans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Excise tax on purchase and retirement of common stock</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34"/>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Non-cash additions to property and equipment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 w:name="page8"/>
    <w:bookmarkEnd w:id="7"/>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 and share amounts in tables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FTI Consulting, Inc., including its consolidated subsidiaries (collectively, the “Company,” “we,” “our” or “FTI Consulting”), presented herein, have been prepared in accordance with generally accepted accounting principles in the United States (“GAAP”) and under the rules and regulations of the Securities and Exchange Commission (“SEC”) for interim financial information. Some of the information and footnote disclosures normally included in annual financial statements have been condensed or omitted pursuant to those rules and regulations. Certain prior period amounts have been reclassified to conform to the current period presentation. In management’s opinion, the interim financial statements reflect all adjustments that are necessary for a fair presentation of the results for the interim periods presented. All adjustments made were normal recurring accruals. The fair values of all financial instruments are estimated to be equal to their carrying values as of September 30, 2026 and December 31, 2025. Results of operations for the interim periods presented herein are not necessarily indicative of results of operations for a full year. These financial statements should be read in conjunction with the consolidated financial statements and the notes thereto contained in our Annual Report on Form 10-K for the year ended December 31, 2025 filed with the SEC.</w:t>
      </w:r>
    </w:p>
    <w:p>
      <w:pPr>
        <w:spacing w:after="0" w:line="140"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Note 1 to the Consolidated Financial Statements included in Part II, Item 8, of our Annual Report on Form 10-K for the year ended December 31, 2025 describes the significant accounting policies and methods used in preparation of the Condensed Consolidated Financial Statements in this Quarterly Report on Form 10-Q.</w:t>
      </w:r>
    </w:p>
    <w:p>
      <w:pPr>
        <w:spacing w:after="0" w:line="122"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We entered into a tax equity investment (“TEI”) during the nine months ended September 30, 2026. The TEI is structured through limited liability companies that invest in clean energy projects that are eligible to receive energy tax credits. We elected to use the proportional amortization method (“PAM”) for the TEI. Under PAM, an investment is amortized in proportion to the allocation of tax benefits received in each period, and tax benefit amounts, net of amortization expense, are presented within “Income tax provision” on our Condensed Consolidated Statements of Comprehensive Income.</w:t>
      </w:r>
    </w:p>
    <w:p>
      <w:pPr>
        <w:spacing w:after="0" w:line="11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executed forward contracts to manage the foreign currency exposure of intercompany loans during the three and nine months ended September 30, 2026. The contracts were not designated as hedges for financial reporting purposes, but rather as non-hedging derivatives in accordance with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fair value of our outstanding derivative is included in “Accounts payable, accrued expenses and other” on the Condensed Consolidated Balance Sheets and the change in fair value of the derivatives is included in “Interest income and other” on the Condensed Consolidated Statements of Comprehensive Income. The impact of the forward contracts was not material to our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Standards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2024-03, </w:t>
      </w:r>
      <w:r>
        <w:rPr>
          <w:rFonts w:ascii="Times New Roman" w:cs="Times New Roman" w:eastAsia="Times New Roman" w:hAnsi="Times New Roman"/>
          <w:sz w:val="17"/>
          <w:szCs w:val="17"/>
          <w:i w:val="1"/>
          <w:iCs w:val="1"/>
          <w:color w:val="auto"/>
        </w:rPr>
        <w:t>Income Statement</w:t>
      </w:r>
    </w:p>
    <w:p>
      <w:pPr>
        <w:spacing w:after="0" w:line="41" w:lineRule="exact"/>
        <w:rPr>
          <w:sz w:val="20"/>
          <w:szCs w:val="20"/>
          <w:color w:val="auto"/>
        </w:rPr>
      </w:pPr>
    </w:p>
    <w:p>
      <w:pPr>
        <w:ind w:firstLine="8"/>
        <w:spacing w:after="0" w:line="253" w:lineRule="auto"/>
        <w:tabs>
          <w:tab w:leader="none" w:pos="10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additional, disaggregated disclosure around certain income statement expense line items. 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spacing w:after="0" w:line="133" w:lineRule="exact"/>
        <w:rPr>
          <w:sz w:val="20"/>
          <w:szCs w:val="20"/>
          <w:color w:val="auto"/>
        </w:rPr>
      </w:pPr>
    </w:p>
    <w:p>
      <w:pPr>
        <w:ind w:right="100" w:firstLine="486"/>
        <w:spacing w:after="0" w:line="277"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which modernizes the accounting for internal-use software costs by increasing the operability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recognition guidance to reflect neutrality toward different methods of software development. The amendments in this ASU are effective for annual and interim periods beginning after December 15, 2027 and can be applied prospectively, retrospectively, or with a modified transition approach. Early adoption is permitted. The Company is in the process of evaluating the impact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Earnings per Common Share</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upon exercise or vesting of outstanding awards under our equity compensation plans, including stock options and share-based awards (restricted share awards, restricted stock units and performance stock units), each using the treasury stock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216,340</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33,266</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share-based awards and stock options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share-based awards and stock options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7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generate the majority of our revenues by providing consulting services to our clients. 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w:t>
      </w:r>
    </w:p>
    <w:p>
      <w:pPr>
        <w:spacing w:after="0" w:line="1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Revenues recognized during the current period may include revenues from performance obligations satisfied or partially satisfied in prior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$25.7 million and $22.4 million for the three and nine months ended September 30, 2026, respectively, and $5.9 million and $17.4 million for the three and nine months ended September 30, 2025, respectively.</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Unfulfilled performance obligations primarily consist of fees not yet recognized on certain fixed-fee, performance-based and contingent arrangements. As of September 30, 2026 and December 31, 2025, the aggregate amount of the remaining contract transaction price allocated to unfulfilled performance obligations was $13.8 million and $27.3 million, respectively. We expect to recognize the majority of the related revenues over the next 12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spacing w:after="0" w:line="133"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Contract assets are defined as assets for which we have recorded revenues but are not yet entitled to receive our fees because certain events, such as completion of the measurement period or client approval, must occur. The contract asset balance was immaterial as of September 30, 2026 and December 31, 2025.</w:t>
      </w:r>
    </w:p>
    <w:p>
      <w:pPr>
        <w:spacing w:after="0" w:line="12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Contract liabilities are defined as liabilities incurred when we have received consideration but have not yet performed the agreed-upon services. This may occur when clients pay fees before work begins. The contract liability balance was immaterial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Accounts Receivable and Allowance for Expected Credit Losses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receivable, net” as presented on the 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Billed receivables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764,217</w:t>
            </w:r>
          </w:p>
        </w:tc>
      </w:tr>
      <w:tr>
        <w:trPr>
          <w:trHeight w:val="230"/>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378,115</w:t>
            </w:r>
          </w:p>
        </w:tc>
      </w:tr>
      <w:tr>
        <w:trPr>
          <w:trHeight w:val="229"/>
        </w:trPr>
        <w:tc>
          <w:tcPr>
            <w:tcW w:w="7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(104,654)</w:t>
            </w:r>
          </w:p>
        </w:tc>
      </w:tr>
      <w:tr>
        <w:trPr>
          <w:trHeight w:val="248"/>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1,037,678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provision for expected credit losses and write-offs: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22,702</w:t>
            </w:r>
          </w:p>
        </w:tc>
      </w:tr>
    </w:tbl>
    <w:p>
      <w:pPr>
        <w:spacing w:after="0" w:line="22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expected credit losses includes recoveries, direct write-offs and charges to other accounts. Billed accounts receivable are written off when the potential for recovery is considered remote.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Special Charges</w:t>
      </w:r>
    </w:p>
    <w:p>
      <w:pPr>
        <w:spacing w:after="0" w:line="1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special charges of $46.0 million as part of a plan to align staffing with demand, which consisted of $45.5 million in salary- and benefits-related costs associated with targeted headcount reductions and $0.5 million in non-cash real estate-related costs. A portion of the special charges liabilities was paid during the three months ended September 30, 2026 and the remaining amounts are expected to be paid in cash in the next 12 months. Liabilities related to the special charges were $38.4 million as of September 30, 2026. These amounts are included in “Accounts payable, accrued expenses and other” on our Condensed Consolidated Balance Sheets.</w:t>
      </w:r>
    </w:p>
    <w:p>
      <w:pPr>
        <w:spacing w:after="0" w:line="129" w:lineRule="exact"/>
        <w:rPr>
          <w:sz w:val="20"/>
          <w:szCs w:val="20"/>
          <w:color w:val="auto"/>
        </w:rPr>
      </w:pPr>
    </w:p>
    <w:p>
      <w:pPr>
        <w:ind w:right="680" w:firstLine="486"/>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2025, we recorded special charges of $25.3 million. The charges related to targeted headcount reductions in areas of each segment and region where we realigned our workforce with current business demand for our consulting services.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special charges by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Finance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Forensic and Litigation Consulting (“FLC”)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Consulting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5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3"/>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 by reportable segment: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8"/>
                <w:szCs w:val="28"/>
                <w:b w:val="1"/>
                <w:bCs w:val="1"/>
                <w:color w:val="auto"/>
                <w:vertAlign w:val="subscript"/>
              </w:rPr>
              <w:t>FLC</w:t>
            </w:r>
            <w:r>
              <w:rPr>
                <w:rFonts w:ascii="Times New Roman" w:cs="Times New Roman" w:eastAsia="Times New Roman" w:hAnsi="Times New Roman"/>
                <w:sz w:val="9"/>
                <w:szCs w:val="9"/>
                <w:b w:val="1"/>
                <w:bCs w:val="1"/>
                <w:color w:val="auto"/>
              </w:rPr>
              <w:t xml:space="preserve"> (1)</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Technology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20" w:type="dxa"/>
            <w:vAlign w:val="bottom"/>
          </w:tcPr>
          <w:p>
            <w:pPr>
              <w:spacing w:after="0"/>
              <w:rPr>
                <w:sz w:val="17"/>
                <w:szCs w:val="17"/>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Consulting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Communications </w:t>
            </w:r>
            <w:r>
              <w:rPr>
                <w:rFonts w:ascii="Times New Roman" w:cs="Times New Roman" w:eastAsia="Times New Roman" w:hAnsi="Times New Roman"/>
                <w:sz w:val="18"/>
                <w:szCs w:val="18"/>
                <w:b w:val="1"/>
                <w:bCs w:val="1"/>
                <w:color w:val="auto"/>
                <w:w w:val="98"/>
                <w:vertAlign w:val="superscript"/>
              </w:rPr>
              <w:t>(2)</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215,174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1,242,777</w:t>
            </w:r>
          </w:p>
        </w:tc>
        <w:tc>
          <w:tcPr>
            <w:tcW w:w="0" w:type="dxa"/>
            <w:vAlign w:val="bottom"/>
          </w:tcPr>
          <w:p>
            <w:pPr>
              <w:spacing w:after="0"/>
              <w:rPr>
                <w:sz w:val="1"/>
                <w:szCs w:val="1"/>
                <w:color w:val="auto"/>
              </w:rPr>
            </w:pPr>
          </w:p>
        </w:tc>
      </w:tr>
      <w:tr>
        <w:trPr>
          <w:trHeight w:val="176"/>
        </w:trPr>
        <w:tc>
          <w:tcPr>
            <w:tcW w:w="31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214,477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1,239,950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380" w:hanging="652"/>
        <w:spacing w:after="0" w:line="229" w:lineRule="auto"/>
        <w:tabs>
          <w:tab w:leader="none" w:pos="26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accumulated impairment losses for the Corporate Finance, FLC, Economic Consulting or Technology segments as of September 30, 2026 and December 31, 2025.</w:t>
      </w:r>
    </w:p>
    <w:p>
      <w:pPr>
        <w:spacing w:after="0" w:line="144" w:lineRule="exact"/>
        <w:rPr>
          <w:rFonts w:ascii="Times New Roman" w:cs="Times New Roman" w:eastAsia="Times New Roman" w:hAnsi="Times New Roman"/>
          <w:sz w:val="23"/>
          <w:szCs w:val="23"/>
          <w:color w:val="auto"/>
          <w:vertAlign w:val="superscript"/>
        </w:rPr>
      </w:pPr>
    </w:p>
    <w:p>
      <w:pPr>
        <w:ind w:left="660" w:right="140" w:hanging="652"/>
        <w:spacing w:after="0" w:line="229" w:lineRule="auto"/>
        <w:tabs>
          <w:tab w:leader="none" w:pos="26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our Strategic Communications segment include gross carrying values of $311.6 million and $312.7 million as of September 30, 2026 and December 31, 2025, respectively, and accumulated impairment losses of $194.1 million as of September 30, 2026 and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24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Amortizing intangible assets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Non-amortizing intangible assets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Amortizing intangible assets primarily include customer relationships as of September 30, 2026 and December 31, 2025.</w:t>
      </w:r>
    </w:p>
    <w:p>
      <w:pPr>
        <w:spacing w:after="0" w:line="113"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Non-amortizing intangible assets include trademarks as of September 30, 2026 and December 31, 2025.</w:t>
      </w:r>
    </w:p>
    <w:p>
      <w:pPr>
        <w:spacing w:after="0" w:line="14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We recorded amortization expense of $0.5 million and $1.7 million during the three and nine months ended September 30, 2026, respectively, and $0.8 million and $2.9 million during the three and nine months ended September 30,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7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On June 30, 2026, we entered into a third amended and restated credit agreement (as amended and restated, the “Credit Agreement”) governing our senior unsecured bank revolving credit facility (the “Revolving Credit Facility”) and our Incremental Term Loan (as defined below), to, among other things, (i) extend the maturity date of the Revolving Credit Facility to June 30, 2031, (ii) increase the revolving line of credit limit from $900.0 million to up to $1.5 billion, with the existing $300.0 million Incremental Term Loan remaining outstanding under the Credit Agreement, and (iii) permit the Company to incur incremental facilities in an aggregate amount of up to (a) the greater of $500.0 million and 100% of consolidated EBITDA, plus (b) an unlimited amount, subject to certain conditions. Our Revolving Credit Facility is unsecured, based on the Company’s investment-grade credit rating from S&amp;P Global, with only unsecured guarantees being provided by certain of our material wholly-owned domestic subsidiaries.</w:t>
      </w:r>
    </w:p>
    <w:p>
      <w:pPr>
        <w:spacing w:after="0" w:line="135"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On March 17, 2026, we entered into an incremental amendment to our second amended and restated credit agreement (the “Incremental Amendment”), which provides for a term loan in the aggregate amount of $300.0 million (the “Incremental Term Loan”). The Incremental Term Loan matures on March 17, 2029, and requires the Company to pay customary fees and expenses.</w:t>
      </w:r>
    </w:p>
    <w:p>
      <w:pPr>
        <w:spacing w:after="0" w:line="12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incurred $5.4 million of debt issuance costs during the nine months ended September 30, 2026 associated with the amendment and restatement of the Credit Agreement and the Incremental Amendment.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8"/>
          <w:szCs w:val="18"/>
          <w:color w:val="auto"/>
        </w:rPr>
        <w:t>The table below presents the components of our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18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Incremental Term Loan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40" w:type="dxa"/>
            <w:vAlign w:val="bottom"/>
            <w:tcBorders>
              <w:bottom w:val="single" w:sz="8" w:color="CCEEFF"/>
            </w:tcBorders>
            <w:gridSpan w:val="2"/>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Long-term debt, net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18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r>
    </w:tbl>
    <w:p>
      <w:pPr>
        <w:spacing w:after="0" w:line="63" w:lineRule="exact"/>
        <w:rPr>
          <w:sz w:val="20"/>
          <w:szCs w:val="20"/>
          <w:color w:val="auto"/>
        </w:rPr>
      </w:pPr>
    </w:p>
    <w:p>
      <w:pPr>
        <w:ind w:left="660" w:right="300" w:hanging="652"/>
        <w:spacing w:after="0" w:line="251" w:lineRule="auto"/>
        <w:tabs>
          <w:tab w:leader="none" w:pos="648" w:val="left"/>
        </w:tabs>
        <w:numPr>
          <w:ilvl w:val="0"/>
          <w:numId w:val="6"/>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There were no current portions of long-term debt as of September 30, 2026 and December 31, 2025. The Company classified the borrowings under the Revolving Credit Facility as long-term debt in the accompanying Condensed Consolidated Balance Sheets, as we have the intent and unilateral ability to refinance any borrowings on a continuous basis through the maturity of the Revolving Credit Facility on June 30, 2031.</w:t>
      </w:r>
    </w:p>
    <w:p>
      <w:pPr>
        <w:spacing w:after="0" w:line="13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and the Incremental Term Loan bear interest, at the Company’s option, at a rate based on a term or daily Secured Overnight Financing Rate (“SOFR”) plus an applicable margin, or a base rate plus an applicable margin. The applicable margins are variable and fluctuate between 1.00% and 1.625% per annum based upon the Company’s credit ratings (as defined in the Credit Agreement) at such time or a base rate plus an applicable margin that will fluctuate between 0.00% and 0.625% per annum based upon the Company’s credit ratings at such time. The base rate is a fluctuating rate per annum equal to the highest of (1) the Federal Funds rate (as defined in the Credit Agreement) plus 50 basis points, (2) the rate of interest in effect for such day as the prime rate announced by Bank of America, and (3) the one-month Term SOFR plus 100 basis points.</w:t>
      </w:r>
    </w:p>
    <w:p>
      <w:pPr>
        <w:spacing w:after="0" w:line="133"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Under the Revolving Credit Facility, we are required to pay a commitment fee rate that fluctuates between 0.125% and 0.275% per annum and a letter of credit fee rate that fluctuates between 1.00% and 1.625% per annum, in each case, based upon the Company’s credit ratings.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lease office space and equipment under non-cancelable operating leases. The table below summarizes the carrying amount of our operating lease assets and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201,492</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gridSpan w:val="2"/>
            <w:vMerge w:val="continue"/>
          </w:tcPr>
          <w:p>
            <w:pPr>
              <w:spacing w:after="0"/>
              <w:rPr>
                <w:sz w:val="15"/>
                <w:szCs w:val="15"/>
                <w:color w:val="auto"/>
              </w:rPr>
            </w:pPr>
          </w:p>
        </w:tc>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37,211</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224,510</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total lease costs: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maturity analysis below summarizes the remaining future undiscounted cash flows for our operating leases and includes a reconciliation to operating lease liabilities reported on the 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9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28"/>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36,126</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107,021</w:t>
            </w:r>
          </w:p>
        </w:tc>
      </w:tr>
      <w:tr>
        <w:trPr>
          <w:trHeight w:val="223"/>
        </w:trPr>
        <w:tc>
          <w:tcPr>
            <w:tcW w:w="9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290,906</w:t>
            </w:r>
          </w:p>
        </w:tc>
      </w:tr>
      <w:tr>
        <w:trPr>
          <w:trHeight w:val="229"/>
        </w:trPr>
        <w:tc>
          <w:tcPr>
            <w:tcW w:w="9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(54,426)</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table below includes cash paid for our operating lease liabilities, other non-cash information, our weighted average remaining lease term and weighted average discount rate: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80" w:type="dxa"/>
            <w:vAlign w:val="bottom"/>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2"/>
              </w:rPr>
              <w:t>43,604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43,778</w:t>
            </w:r>
          </w:p>
        </w:tc>
      </w:tr>
      <w:tr>
        <w:trPr>
          <w:trHeight w:val="257"/>
        </w:trPr>
        <w:tc>
          <w:tcPr>
            <w:tcW w:w="8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22,627</w:t>
            </w:r>
          </w:p>
        </w:tc>
      </w:tr>
      <w:tr>
        <w:trPr>
          <w:trHeight w:val="257"/>
        </w:trPr>
        <w:tc>
          <w:tcPr>
            <w:tcW w:w="8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7"/>
        </w:trPr>
        <w:tc>
          <w:tcPr>
            <w:tcW w:w="80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our results of operations. During the three and nine months ended September 30, 2025, the Company recognized gain contingencies related to the conclusion of certain legal actions. These amounts are included as a gain in “Selling, general and administrative (“SG&amp;A”) expenses” on our Condensed Consolidated Statements of Comprehensive Income.</w:t>
      </w:r>
    </w:p>
    <w:p>
      <w:pPr>
        <w:spacing w:after="0" w:line="129"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we were contingently liable under bank guarantees issued in favor of third parties that totaled $18.5 million and $17.5 million, respectively. These bank guarantees primarily support bid and performance obligations and operating leases for office space. The amounts are guaranteed under guarantee facilities totaling $40.9 million and $32.5 million as of September 30, 2026 and December 31, 2025, respectively. We had $22.4 million and $15.0 million available under the guarantee facilities as of September 30, 2026 and December 31, 2025, respectively. These bank guarantees are issued separately from our Revolving Credit Facility and, as a result, do not affect available borrowing capacity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entered into a TEI of $42.1 million during the nine months ended September 30, 2026. The TEI owns projects related to solar energy and produces tax credits under Sections 48 and 48E of the Internal Revenue Code. The initial investment is included in “Payment for tax equity investment” on the Condensed Consolidated Statements of Cash Flows. As of September 30, 2026, the remaining unamortized balance of the investment totaled $16.7 million and was included within “Prepaid expenses and other current assets” on our Condensed Consolidated Balance Sheets.</w:t>
      </w:r>
    </w:p>
    <w:p>
      <w:pPr>
        <w:spacing w:after="0" w:line="12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recognized net tax benefits of $3.6 million and $10.7 million related to our TEI during the three and nine months ended September 30, 2026, respectively. These recognized net tax benefits were recorded within “Income tax provision” on our Condensed Consolidated Statements of Comprehensive Income. The net tax benefits include tax credits and other income tax benefits of $12.1 million and $36.1 million during the three and nine months ended September 30, 2026, respectively, which were partially offset by amortization expense of $8.5 million and $25.4 million during the three and nine months ended September 30, 2026, respectively. The amortization expense is presented in “Amortization of tax equity investment” on the Condensed Consolidated Statements of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7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granted equity awards of 276,026 restricted shares, 150,591 restricted stock units and 138,591 performance stock units during the nine months ended September 30, 2026, under the FTI Consulting, Inc. 2017 Omnibus Incentive Compensation Plan, as amended, our employee equity compensation plan. Our performance stock units are presented at the maximum potential payout percentage of target shares granted. These awards are recorded as equity on the Condensed Consolidated Balance Sheets. During the nine months ended September 30, 2026, 19,455 shares of restricted stock and 25,365 restricted stock units were forfeited prior to the completion of the applicable vesting requirements. Additionally, 42,753 performance stock units were forfeited during the nine months ended September 30, 2026, including award targets that were not achieved.</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net of forfeitures, is detailed in the following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$370.0 million to an aggregate authorization of $2.6 billion on June 3, 2026. No time limit has been established for the completion of the Repurchase Program, and the Repurchase Program may be suspended, discontinued or replaced by the Board of Directors at any time without prior notice. As of September 30, 2026, we had $264.7 million available under the Repurchase Program to repurchase additional shares of our common stock.</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our stock repurchases under the Repurchase Program: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 and retired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30"/>
        </w:trPr>
        <w:tc>
          <w:tcPr>
            <w:tcW w:w="5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price paid per share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ind w:left="660" w:right="380" w:hanging="652"/>
        <w:spacing w:after="0" w:line="229" w:lineRule="auto"/>
        <w:tabs>
          <w:tab w:leader="none" w:pos="26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excise taxes of $0.7 million and $6.0 million incurred during the three and nine months ended September 30, 2026, respectively, and $2.3 million and $7.1 million for the three and nine months ended September 30, 2025, respectively, and commissions.</w:t>
      </w:r>
    </w:p>
    <w:p>
      <w:pPr>
        <w:spacing w:after="0" w:line="144"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As we repurchase our common shares, we reduce stated capital on our Condensed Consolidated Balance Sheets for the $0.01 of par value of the shares repurchased, with the excess purchase price over par value recorded as a reduction to additional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right="600"/>
        <w:spacing w:after="0" w:line="282" w:lineRule="auto"/>
        <w:rPr>
          <w:sz w:val="20"/>
          <w:szCs w:val="20"/>
          <w:color w:val="auto"/>
        </w:rPr>
      </w:pPr>
      <w:r>
        <w:rPr>
          <w:rFonts w:ascii="Times New Roman" w:cs="Times New Roman" w:eastAsia="Times New Roman" w:hAnsi="Times New Roman"/>
          <w:sz w:val="18"/>
          <w:szCs w:val="18"/>
          <w:color w:val="auto"/>
        </w:rPr>
        <w:t>paid-in capital. If additional paid-in capital is reduced to zero, we record the remainder of the excess purchase price over par value as a reduction to retained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Common stock outstanding was approximately 27.2 million shares and 30.9 million shares as of September 30, 2026 and December 31, 2025, respectively. Common stock outstanding includes unvested restricted stock awards, which are considered issued and outstanding under the terms of the restricted stock award agreements. The decrease in common stock outstanding was primarily due to stock repurchases under the Repurchase Program during the nine months ended September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manage our business in five reportable segments: Corporate Finance, FLC, Economic Consulting, Technology and Strategic Communications.</w:t>
      </w:r>
    </w:p>
    <w:p>
      <w:pPr>
        <w:spacing w:after="0" w:line="17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spacing w:after="0" w:line="126"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spacing w:after="0" w:line="129" w:lineRule="exact"/>
        <w:rPr>
          <w:sz w:val="20"/>
          <w:szCs w:val="20"/>
          <w:color w:val="auto"/>
        </w:rPr>
      </w:pPr>
    </w:p>
    <w:p>
      <w:pPr>
        <w:jc w:val="both"/>
        <w:ind w:right="360" w:firstLine="486"/>
        <w:spacing w:after="0" w:line="261" w:lineRule="auto"/>
        <w:rPr>
          <w:sz w:val="20"/>
          <w:szCs w:val="20"/>
          <w:color w:val="auto"/>
        </w:rPr>
      </w:pPr>
      <w:r>
        <w:rPr>
          <w:rFonts w:ascii="Times New Roman" w:cs="Times New Roman" w:eastAsia="Times New Roman" w:hAnsi="Times New Roman"/>
          <w:sz w:val="18"/>
          <w:szCs w:val="18"/>
          <w:color w:val="auto"/>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Technology 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spacing w:after="0" w:line="1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Strategic Communications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spacing w:after="0" w:line="12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 of revenues. Our CODM uses gross profit (i) to evaluate reportable segment performance against budgets, forecasts and strategies and (ii) to make strategic decisions regarding resource allocation, such as billable headcount and related compensation costs, as well as utilization and bill rates of our service offerings. Our CODM is not provided asset information by reportable segment.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The tables below summarize revenues, significant expenses and gross profit by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6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1,012,563</w:t>
            </w: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586,216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75,557</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661,773</w:t>
            </w: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60" w:type="dxa"/>
            <w:vAlign w:val="bottom"/>
          </w:tcPr>
          <w:p>
            <w:pPr>
              <w:spacing w:after="0"/>
              <w:rPr>
                <w:sz w:val="24"/>
                <w:szCs w:val="24"/>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2,989,372</w:t>
            </w: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1,781,208</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234,274</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2,015,482</w:t>
            </w: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973,890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60" w:type="dxa"/>
            <w:vAlign w:val="bottom"/>
          </w:tcPr>
          <w:p>
            <w:pPr>
              <w:spacing w:after="0"/>
              <w:rPr>
                <w:sz w:val="24"/>
                <w:szCs w:val="24"/>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560,661</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77,572</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638,233</w:t>
            </w: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317,934</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60" w:type="dxa"/>
            <w:vAlign w:val="bottom"/>
          </w:tcPr>
          <w:p>
            <w:pPr>
              <w:spacing w:after="0"/>
              <w:rPr>
                <w:sz w:val="24"/>
                <w:szCs w:val="24"/>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1,654,060</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234,242</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1,888,302</w:t>
            </w: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212,813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909,809</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significant expense category and amounts align with the segment-level information that is regularly provided to the CODM.</w:t>
      </w:r>
    </w:p>
    <w:p>
      <w:pPr>
        <w:spacing w:after="0" w:line="171" w:lineRule="exact"/>
        <w:rPr>
          <w:sz w:val="20"/>
          <w:szCs w:val="20"/>
          <w:color w:val="auto"/>
        </w:rPr>
      </w:pPr>
    </w:p>
    <w:p>
      <w:pPr>
        <w:ind w:left="20" w:right="140" w:hanging="11"/>
        <w:spacing w:after="0" w:line="282" w:lineRule="auto"/>
        <w:rPr>
          <w:sz w:val="20"/>
          <w:szCs w:val="20"/>
          <w:color w:val="auto"/>
        </w:rPr>
      </w:pPr>
      <w:r>
        <w:rPr>
          <w:rFonts w:ascii="Times New Roman" w:cs="Times New Roman" w:eastAsia="Times New Roman" w:hAnsi="Times New Roman"/>
          <w:sz w:val="18"/>
          <w:szCs w:val="18"/>
          <w:color w:val="auto"/>
        </w:rPr>
        <w:t>Other segment items include expenses for contractor fees and other costs. In our Technology segment, other segment items also include expenses related to software, licensing, data storage and depreciation.</w:t>
      </w:r>
    </w:p>
    <w:p>
      <w:pPr>
        <w:spacing w:after="0" w:line="200" w:lineRule="exact"/>
        <w:rPr>
          <w:sz w:val="20"/>
          <w:szCs w:val="20"/>
          <w:color w:val="auto"/>
        </w:rPr>
      </w:pPr>
    </w:p>
    <w:p>
      <w:pPr>
        <w:sectPr>
          <w:pgSz w:w="11900" w:h="16838" w:orient="portrait"/>
          <w:cols w:equalWidth="0" w:num="2">
            <w:col w:w="140" w:space="500"/>
            <w:col w:w="10600"/>
          </w:cols>
          <w:pgMar w:left="320" w:top="89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color w:val="auto"/>
        </w:rPr>
        <w:t>The table below reconciles income before income tax provision to total segment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284,248</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586,023</w:t>
            </w:r>
          </w:p>
        </w:tc>
      </w:tr>
      <w:tr>
        <w:trPr>
          <w:trHeight w:val="223"/>
        </w:trPr>
        <w:tc>
          <w:tcPr>
            <w:tcW w:w="53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segment gross profit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973,890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909,809</w:t>
            </w:r>
          </w:p>
        </w:tc>
      </w:tr>
      <w:tr>
        <w:trPr>
          <w:trHeight w:val="21"/>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5"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2026, we continued our plan to align staffing with demand. We expect to record a special charge of approximately $7 million in the fourth quarter of 2026, consisting of approximately $2 million in salary- and benefits-related costs associated with targeted headcount reductions and approximately $5 million in real estate-related costs.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following is a discussion and analysis of our consolidated financial condition, results of operations, and liquidity and capital resources for the three and nine months ended September 30, 2026 and 2025, and significant factors that could affect our prospective financial condition and results of operations. This discussion should be read in conjunction with the accompanying unaudited condensed consolidated financial statements and related notes and with our Annual Report on Form 10-K for the year ended December 31, 2025 filed with the United States (“U.S.”) Securities and Exchange Commission (“SEC”). In addition to historical information, the following discussion includes forward-looking statements based on current expectations that involve risks, uncertainties and assumptions, such as our plans, objectives, expectations and intentions. Although we believe that the expectations reflected in the forward-looking statements contained herein are reasonable, these expectations or any of the forward-looking statements could prove to be incorrect, and actual results could differ materially from those projected or assumed in the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FTI Consulting, Inc., including its consolidated subsidiaries (collectively, the “Company,” “we,” “our” or “FTI Consulting”) is a leading global expert firm for organizations facing crisis and transformation. Individually, each of our segments and practices is staffed with experts recognized for the depth of their knowledge and a track record of making an impact.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report financial results for the following five reportable segments:</w:t>
      </w:r>
    </w:p>
    <w:p>
      <w:pPr>
        <w:spacing w:after="0" w:line="167"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Corporate Finance</w:t>
      </w:r>
      <w:r>
        <w:rPr>
          <w:rFonts w:ascii="Times New Roman" w:cs="Times New Roman" w:eastAsia="Times New Roman" w:hAnsi="Times New Roman"/>
          <w:sz w:val="18"/>
          <w:szCs w:val="18"/>
          <w:color w:val="auto"/>
        </w:rPr>
        <w:t xml:space="preserv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spacing w:after="0" w:line="122"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Forensic and Litigation Consulting (“FLC”)</w:t>
      </w:r>
      <w:r>
        <w:rPr>
          <w:rFonts w:ascii="Times New Roman" w:cs="Times New Roman" w:eastAsia="Times New Roman" w:hAnsi="Times New Roman"/>
          <w:sz w:val="18"/>
          <w:szCs w:val="18"/>
          <w:color w:val="auto"/>
        </w:rPr>
        <w:t xml:space="preserve">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spacing w:after="0" w:line="125" w:lineRule="exact"/>
        <w:rPr>
          <w:sz w:val="20"/>
          <w:szCs w:val="20"/>
          <w:color w:val="auto"/>
        </w:rPr>
      </w:pPr>
    </w:p>
    <w:p>
      <w:pPr>
        <w:ind w:right="28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Economic Consulting</w:t>
      </w:r>
      <w:r>
        <w:rPr>
          <w:rFonts w:ascii="Times New Roman" w:cs="Times New Roman" w:eastAsia="Times New Roman" w:hAnsi="Times New Roman"/>
          <w:sz w:val="18"/>
          <w:szCs w:val="18"/>
          <w:color w:val="auto"/>
        </w:rPr>
        <w:t xml:space="preserve">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2"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spacing w:after="0" w:line="125" w:lineRule="exact"/>
        <w:rPr>
          <w:sz w:val="20"/>
          <w:szCs w:val="20"/>
          <w:color w:val="auto"/>
        </w:rPr>
      </w:pPr>
    </w:p>
    <w:p>
      <w:pPr>
        <w:ind w:right="34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Strategic Communications</w:t>
      </w:r>
      <w:r>
        <w:rPr>
          <w:rFonts w:ascii="Times New Roman" w:cs="Times New Roman" w:eastAsia="Times New Roman" w:hAnsi="Times New Roman"/>
          <w:sz w:val="18"/>
          <w:szCs w:val="18"/>
          <w:color w:val="auto"/>
        </w:rPr>
        <w:t xml:space="preserve">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spacing w:after="0" w:line="12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 fee in exchange for a predetermined set of professional services. Fixed-fee arrangements may require certain clients to pay us a recurring retainer. 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8" w:name="page19"/>
    <w:bookmarkEnd w:id="18"/>
    <w:p>
      <w:pPr>
        <w:ind w:right="360"/>
        <w:spacing w:after="0" w:line="282" w:lineRule="auto"/>
        <w:rPr>
          <w:sz w:val="20"/>
          <w:szCs w:val="20"/>
          <w:color w:val="auto"/>
        </w:rPr>
      </w:pPr>
      <w:r>
        <w:rPr>
          <w:rFonts w:ascii="Times New Roman" w:cs="Times New Roman" w:eastAsia="Times New Roman" w:hAnsi="Times New Roman"/>
          <w:sz w:val="18"/>
          <w:szCs w:val="18"/>
          <w:color w:val="auto"/>
        </w:rPr>
        <w:t>to the timing of when achieving the performance-based criteria becomes probable. Seasonal factors, such as the timing of our employees’ and clients’ vacations and holidays, may impact the timing of our revenue recognition across our segments.</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results are primarily driven by:</w:t>
      </w:r>
    </w:p>
    <w:p>
      <w:pPr>
        <w:spacing w:after="0" w:line="171" w:lineRule="exact"/>
        <w:rPr>
          <w:sz w:val="20"/>
          <w:szCs w:val="20"/>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engagements we secure;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billable professionals;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rates of the billable professionals we employ;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hour or fixed charges we charge our clients for services;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billing and collection cycles;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locations of our clients or locations in which services are rendered.</w:t>
      </w:r>
    </w:p>
    <w:p>
      <w:pPr>
        <w:spacing w:after="0" w:line="171"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We define acquisition growth as revenues of acquired companies in the first 12 months following the effective date of an acquisition. When significant, we identify the impact of acquisition-related revenue growth.</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spacing w:after="0" w:line="126" w:lineRule="exact"/>
        <w:rPr>
          <w:sz w:val="20"/>
          <w:szCs w:val="20"/>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Segment Operating Income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Segment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Adjusted Segment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Diluted Share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17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included the definition of Segment Operating Income (Loss), which is a GAAP financial measure, below in order to more fully define the components of certain non-GAAP financial measures in the accompanying analysis of financial information.</w:t>
      </w:r>
    </w:p>
    <w:p>
      <w:pPr>
        <w:spacing w:after="0" w:line="10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define Segment Operating Income (Loss) as a segment’s share of consolidated operating income. We define Total Segment Operating Income, which is a non-GAAP financial measure, as the total of Segment Operating Income (Loss) for all segments, which excludes unallocated corporate expenses. We use Segment Operating Income (Loss) for the purpose of</w:t>
      </w:r>
    </w:p>
    <w:p>
      <w:pPr>
        <w:sectPr>
          <w:pgSz w:w="11900" w:h="16838" w:orient="portrait"/>
          <w:cols w:equalWidth="0" w:num="1">
            <w:col w:w="1114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t>calculating Adjusted Segment EBITDA, which is a non-GAAP financial measure. We define Adjusted Segment EBITDA as Segment Operating Income (Loss)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spacing w:after="0" w:line="1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common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w:t>
      </w:r>
    </w:p>
    <w:p>
      <w:pPr>
        <w:spacing w:after="0" w:line="13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spacing w:after="0" w:line="13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(used in)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spacing w:after="0" w:line="12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 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w:t>
      </w:r>
    </w:p>
    <w:p>
      <w:pPr>
        <w:spacing w:after="0" w:line="13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Condensed Consolidated Statements of Comprehensive Income and Condensed Consolidated Statements of Cash Flows. Reconciliations of these non-GAAP financial measures to the most directly comparable GAAP financial measures are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7"/>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80" w:type="dxa"/>
            <w:vAlign w:val="bottom"/>
          </w:tcPr>
          <w:p>
            <w:pPr>
              <w:spacing w:after="0"/>
              <w:rPr>
                <w:sz w:val="15"/>
                <w:szCs w:val="15"/>
                <w:color w:val="auto"/>
              </w:rPr>
            </w:pPr>
          </w:p>
        </w:tc>
        <w:tc>
          <w:tcPr>
            <w:tcW w:w="27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r>
      <w:tr>
        <w:trPr>
          <w:trHeight w:val="19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280" w:type="dxa"/>
            <w:vAlign w:val="bottom"/>
          </w:tcPr>
          <w:p>
            <w:pPr>
              <w:spacing w:after="0"/>
              <w:rPr>
                <w:sz w:val="16"/>
                <w:szCs w:val="16"/>
                <w:color w:val="auto"/>
              </w:rPr>
            </w:pPr>
          </w:p>
        </w:tc>
        <w:tc>
          <w:tcPr>
            <w:tcW w:w="270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r>
      <w:tr>
        <w:trPr>
          <w:trHeight w:val="23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1,012,563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2,989,372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2,798,111</w:t>
            </w: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Special charges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216,340</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130,573</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357,377</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(207,624)</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9"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Excluded from non-GAAP financial measures, including Adjusted EBITDA and Adjusted EPS.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Executive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September 30, 2026 increased $56.4 million, or 5.9%, compared to the three months ended September 30, 2025, due to higher revenues across all of our business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Charges</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special charges of $46.0 million as part of a plan to align staffing with demand, which consisted of $45.5 million in salary- and benefits-related costs associated with targeted headcount reductions and $0.5 million in non-cash real estate-related costs. A portion of the special charges liabilities was paid during the three months ended September 30, 2026 and the remaining amounts are expected to be paid in cash in the next 12 months.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special charges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5"/>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r>
      <w:tr>
        <w:trPr>
          <w:trHeight w:val="250"/>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41,542</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23"/>
        </w:trPr>
        <w:tc>
          <w:tcPr>
            <w:tcW w:w="9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46,008</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months ended September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September 30, 2026 decreased $19.4 million, or 23.4%, compared to the three months ended September 30, 2025. The decrease in net income was primarily due to special charges recorded during the three months ended September 30, 2026, as well as higher direct costs, selling, general and administrative (“SG&amp;A”) expenses and interest expense, which more than offset an increase in revenues and a lower income tax provision compared to the same quarter in the prior year.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increased $23.1 million, or 17.7%, compared to the three months ended September 30, 2025. Adjusted EBITDA Margin of 15.2% for the three months ended September 30, 2026 compared to 13.7% for the three months ended September 30, 2025. The increase in Adjusted EBITDA was primarily due to higher revenues, which was partially offset by an increase in direct costs and SG&amp;A expenses compared to the same quarter in the prior year. Adjusted EBITDA excludes special charges of $46.0 million and Extraordinary Litigation-Related Expenses of $4.5 million for the three months ended September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EPS and Adjusted EPS</w:t>
      </w:r>
    </w:p>
    <w:p>
      <w:pPr>
        <w:spacing w:after="0" w:line="17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EPS for the three months ended September 30, 2026 decreased $0.25 to $2.35 compared to $2.60 for the three months ended September 30, 2025. The decrease in EPS was primarily due to the decrease in net income as described above, which was partially offset by the favorable impact of lower weighted average shares outstanding.</w:t>
      </w:r>
    </w:p>
    <w:p>
      <w:pPr>
        <w:spacing w:after="0" w:line="12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Adjusted EPS for the three months ended September 30, 2026 increased $1.24 to $3.84 compared to $2.60 for the three months ended September 30, 2025. Adjusted EPS for the three months ended September 30, 2026 excludes $46.0 million of special charges and $4.5 million of Extraordinary Litigation-Related Expenses, which increased Adjusted EPS by $1.36 and $0.13, respectively. Adjusted EPS was equal to EPS for the three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Allocation</w:t>
      </w:r>
    </w:p>
    <w:p>
      <w:pPr>
        <w:spacing w:after="0" w:line="1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September 30, 2026 decreased $11.5 million, or 5.7%, to $190.4 million compared to $201.9 million for the three months ended September 30, 2025. The decrease in net cash provided by operating activities was primarily due to an increase in operating expense and compensation payments, which was partially offset by higher cash collections and a decrease in forgivable loan issuances. Days sales outstanding (“DSO”) of 101 days at September 30, 2026 compared to 102 days at September 30, 2025.</w:t>
      </w:r>
    </w:p>
    <w:p>
      <w:pPr>
        <w:spacing w:after="0" w:line="126"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Free Cash Flow was an inflow of $182.0 million and $187.0 million for the three months ended September 30, 2026 and 2025, respectively. The decrease in Free Cash Flow was due to lower net cash provided by operating activities, as described above, which was partially offset by a decrease in purchases of property and equipment.</w:t>
      </w:r>
    </w:p>
    <w:p>
      <w:pPr>
        <w:spacing w:after="0" w:line="12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made payments of $85.2 million and $234.2 million for common stock repurchases under the Repurchase Program during the three months ended September 30,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Quarter 2026 Special Charge</w:t>
      </w:r>
    </w:p>
    <w:p>
      <w:pPr>
        <w:spacing w:after="0" w:line="17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2026, we continued our plan to align staffing with demand. We expect to record a special charge of approximately $7 million in the fourth quarter of 2026, consisting of approximately $2 million in salary- and benefits-related costs associated with targeted headcount reductions and approximately $5 million in real estate-related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includes the net headcount additions (reductions) by segment and in total for the nine months ended September 30,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Billable Headcount</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Non-Billable</w:t>
            </w:r>
          </w:p>
        </w:tc>
        <w:tc>
          <w:tcPr>
            <w:tcW w:w="9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FLC</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Strategic</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60" w:type="dxa"/>
            <w:vAlign w:val="bottom"/>
            <w:gridSpan w:val="2"/>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020" w:type="dxa"/>
            <w:vAlign w:val="bottom"/>
            <w:gridSpan w:val="2"/>
            <w:vMerge w:val="continue"/>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8,118</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net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net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2026</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net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8,281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Percentage change in headcount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8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December 31, 2025</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864"/>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Consolidated Operating Results: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32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9"/>
                <w:szCs w:val="19"/>
                <w:color w:val="auto"/>
              </w:rPr>
            </w:pPr>
          </w:p>
        </w:tc>
        <w:tc>
          <w:tcPr>
            <w:tcW w:w="32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424,365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404,896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1,245,266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1,127,780</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195,137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582,269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571,808</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544,604</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103,197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94,081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304,537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274,836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100,611</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89,415</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303,587</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279,083</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1,012,563</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2,989,372</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83,393</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251,098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99,637</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52,288</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0" w:type="dxa"/>
            <w:vAlign w:val="bottom"/>
          </w:tcPr>
          <w:p>
            <w:pPr>
              <w:spacing w:after="0"/>
              <w:rPr>
                <w:sz w:val="1"/>
                <w:szCs w:val="1"/>
                <w:color w:val="auto"/>
              </w:rPr>
            </w:pPr>
          </w:p>
        </w:tc>
      </w:tr>
      <w:tr>
        <w:trPr>
          <w:trHeight w:val="223"/>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390,245</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(149,284)</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89,840</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258,778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295,641</w:t>
            </w: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284,248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r>
      <w:tr>
        <w:trPr>
          <w:trHeight w:val="2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67,908</w:t>
            </w: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w:t>
            </w: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30"/>
        </w:trPr>
        <w:tc>
          <w:tcPr>
            <w:tcW w:w="48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Extraordinary Litigation-Related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354,958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357,377</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79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94" w:lineRule="exact"/>
        <w:rPr>
          <w:sz w:val="20"/>
          <w:szCs w:val="20"/>
          <w:color w:val="auto"/>
        </w:rPr>
      </w:pPr>
    </w:p>
    <w:p>
      <w:pPr>
        <w:ind w:left="660" w:right="60" w:hanging="652"/>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“Non-GAAP Financial Measures” in Part I, Item 2 of this Quarterly Report on Form 10-Q for our definition of “Extraordinary Litigation-Related Expenses.”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9"/>
                <w:szCs w:val="19"/>
                <w:color w:val="auto"/>
              </w:rPr>
            </w:pPr>
          </w:p>
        </w:tc>
        <w:tc>
          <w:tcPr>
            <w:tcW w:w="29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Extraordinary Litigation-Related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Tax impact of Extraordinary Litigation-Related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235,836</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EPS</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Extraordinary Litigation-Related Expenses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Tax impact of Extraordinary Litigation-Related</w:t>
            </w: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6"/>
                <w:szCs w:val="16"/>
                <w:color w:val="auto"/>
              </w:rPr>
              <w:t>Weighted average number of common shares outstanding —</w:t>
            </w:r>
          </w:p>
        </w:tc>
        <w:tc>
          <w:tcPr>
            <w:tcW w:w="28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31,823</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94" w:lineRule="exact"/>
        <w:rPr>
          <w:sz w:val="20"/>
          <w:szCs w:val="20"/>
          <w:color w:val="auto"/>
        </w:rPr>
      </w:pPr>
    </w:p>
    <w:p>
      <w:pPr>
        <w:ind w:left="660" w:right="60" w:hanging="652"/>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“Non-GAAP Financial Measures” in Part I, Item 2 of this Quarterly Report on Form 10-Q for our definition of “Extraordinary Litigation-Related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(Used in) Operating Activities to Free Cash Flow: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r>
      <w:tr>
        <w:trPr>
          <w:trHeight w:val="23"/>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201,893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(207,624)</w:t>
            </w:r>
          </w:p>
        </w:tc>
      </w:tr>
      <w:tr>
        <w:trPr>
          <w:trHeight w:val="230"/>
        </w:trPr>
        <w:tc>
          <w:tcPr>
            <w:tcW w:w="5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(14,914)</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(50,142)</w:t>
            </w:r>
          </w:p>
        </w:tc>
      </w:tr>
      <w:tr>
        <w:trPr>
          <w:trHeight w:val="248"/>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181,953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186,979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(257,766)</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75" w:lineRule="exact"/>
        <w:rPr>
          <w:sz w:val="20"/>
          <w:szCs w:val="20"/>
          <w:color w:val="auto"/>
        </w:rPr>
      </w:pPr>
    </w:p>
    <w:p>
      <w:pPr>
        <w:ind w:right="600" w:firstLine="486"/>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increased $12.3 million, or 35.0%, to $47.4 million compared to $35.1 million for the three months ended September 30, 2025. Excluding the impact of special charges of $4.5 million for the three months ended September 30, 2026, unallocated corporate expenses increased $7.8 million, or 22.3%. The increase was primarily due to $4.5 million in Extraordinary Litigation-Related Expenses and higher compensation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decreased $1.0 million to a $0.7 million gain for the three months ended September 30, 2026 compared to a $1.7 million gain for the three months ended September 30, 2025, primarily due to a $0.3 million FX remeasurement loss compared to a $0.6 million FX remeasurement gain during the same quarter in the prior year.</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4" w:name="page25"/>
    <w:bookmarkEnd w:id="24"/>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expense increased $5.7 million, or 74.6%, to $13.3 million for the three months ended September 30, 2026 compared to $7.6 million for the three months ended September 30, 2025, primarily due to higher borrowings on the $300.0 million term loan under our Credit Agreement (the “Incremental Term Loan”) and our senior unsecured bank revolving credit facility (the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income tax provision decreased $15.1 million, or 52.4%, to $13.8 million for the three months ended September 30, 2026 compared to $28.9 million for the three months ended September 30, 2025. Our effective tax rate of 17.8% for the three months ended September 30, 2026 compared to 25.9% for the three months ended September 30, 2025. The decrease in the income tax provision was due to both lower income before income tax provision and a lower effective tax rate. The lower effective tax rate was primarily due to a favorable return-to-provision adjustment and the net tax benefits associated with our tax equity investment, which was partially offset by an increase in valuation allowances as compared to the three months ended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75"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Unallocated corporate expenses increased $54.7 million, or 57.8%, to $149.3 million compared to $94.6 million for the nine months ended September 30, 2025. Excluding the impact of special charges for the nine months ended September 30, 2026 and 2025, unallocated corporate expenses increased $52.2 million, or 56.3%. The increase was primarily due to legal settlement gains recorded during the nine months ended September 30, 2025 that did not recur, $11.1 million in Extraordinary Litigation-Related Expenses incurred during the nine months ended September 30, 2026, higher compensation expenses and expenses related to our All SMD meeting.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decreased $1.1 million to a $1.4 million gain for the nine months ended September 30, 2026 compared to a $2.5 million gain for the nine months ended September 30, 2025, primarily due to a $3.1 million decrease in interest income, which was partially offset by a $2.0 million decrease in FX remeasurement losses compared to the same period in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Interest expense increased $17.5 million, or 126.6%, to $31.4 million for the nine months ended September 30, 2026 compared to $13.9 million for the nine months ended September 30, 2025, primarily due to higher borrowings on our Revolving Credit Facility and Incremental Term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income tax provision decreased $18.0 million, or 26.6%, to $49.9 million for the nine months ended September 30, 2026 compared to $67.9 million for the nine months ended September 30, 2025. Our effective tax rate of 21.8% for the nine months ended September 30, 2026 compared to 23.9% for the nine months ended September 30, 2025. The decrease in the income tax provision was due to both lower income before income tax provision and a lower effective tax rate. The lower effective tax rate was primarily due to a favorable return-to-provision adjustment and the net tax benefits associated with our tax equity investment, which was partially offset by an increase in valuation allowances as compared to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EBITDA</w:t>
      </w:r>
    </w:p>
    <w:p>
      <w:pPr>
        <w:spacing w:after="0" w:line="17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evaluate the performance of each of our operating segments based on multiple measures of segment profit, including Adjusted Segment EBITDA, which is a non-GAAP financial measure. The following tables reconcile Segment Operating Income (Loss) to Adjusted Segment EBITDA for the three and nine months ended September 30,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63,449</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13,773</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89,840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12,789</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Special charges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46,008</w:t>
            </w:r>
          </w:p>
        </w:tc>
        <w:tc>
          <w:tcPr>
            <w:tcW w:w="0" w:type="dxa"/>
            <w:vAlign w:val="bottom"/>
          </w:tcPr>
          <w:p>
            <w:pPr>
              <w:spacing w:after="0"/>
              <w:rPr>
                <w:sz w:val="1"/>
                <w:szCs w:val="1"/>
                <w:color w:val="auto"/>
              </w:rPr>
            </w:pPr>
          </w:p>
        </w:tc>
      </w:tr>
      <w:tr>
        <w:trPr>
          <w:trHeight w:val="165"/>
        </w:trPr>
        <w:tc>
          <w:tcPr>
            <w:tcW w:w="350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Extraordinary Litigation-Related</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102,845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20,423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153,678</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24"/>
                <w:szCs w:val="2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24"/>
                <w:szCs w:val="24"/>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178,890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31,406</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49,868</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258,778</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37,357</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Special charges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46,008</w:t>
            </w:r>
          </w:p>
        </w:tc>
        <w:tc>
          <w:tcPr>
            <w:tcW w:w="0" w:type="dxa"/>
            <w:vAlign w:val="bottom"/>
          </w:tcPr>
          <w:p>
            <w:pPr>
              <w:spacing w:after="0"/>
              <w:rPr>
                <w:sz w:val="1"/>
                <w:szCs w:val="1"/>
                <w:color w:val="auto"/>
              </w:rPr>
            </w:pPr>
          </w:p>
        </w:tc>
      </w:tr>
      <w:tr>
        <w:trPr>
          <w:trHeight w:val="165"/>
        </w:trPr>
        <w:tc>
          <w:tcPr>
            <w:tcW w:w="350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Extraordinary Litigation-Related</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277,458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60,810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(131,770)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354,958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94" w:lineRule="exact"/>
        <w:rPr>
          <w:sz w:val="20"/>
          <w:szCs w:val="20"/>
          <w:color w:val="auto"/>
        </w:rPr>
      </w:pPr>
    </w:p>
    <w:p>
      <w:pPr>
        <w:ind w:left="660" w:right="60" w:hanging="652"/>
        <w:spacing w:after="0" w:line="229" w:lineRule="auto"/>
        <w:tabs>
          <w:tab w:leader="none" w:pos="64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“Non-GAAP Financial Measures” in Part I, Item 2 of this Quarterly Report on Form 10-Q for our definition of “Extraordinary Litigation-Related Expenses.”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117,670</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96,413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13,644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16,909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130,573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24"/>
                <w:szCs w:val="2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24"/>
                <w:szCs w:val="24"/>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216,340</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67,908</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42,064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295,641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Special charges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25,295</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48,293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357,377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Adjusted Segment EBITDA</w:t>
      </w:r>
    </w:p>
    <w:p>
      <w:pPr>
        <w:spacing w:after="0" w:line="1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three and nine months ended September 30, 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r>
      <w:tr>
        <w:trPr>
          <w:trHeight w:val="2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178,890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67,908</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30"/>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30"/>
        </w:trPr>
        <w:tc>
          <w:tcPr>
            <w:tcW w:w="48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149,284</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94,604</w:t>
            </w:r>
          </w:p>
        </w:tc>
      </w:tr>
      <w:tr>
        <w:trPr>
          <w:trHeight w:val="223"/>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408,062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390,245</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31,759</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30"/>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Adjusted Segment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486,728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448,204</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 Operating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billable professionals (at period end):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billable professionals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Utilization rates of billable professionals: </w:t>
            </w:r>
            <w:r>
              <w:rPr>
                <w:rFonts w:ascii="Times New Roman" w:cs="Times New Roman" w:eastAsia="Times New Roman" w:hAnsi="Times New Roman"/>
                <w:sz w:val="23"/>
                <w:szCs w:val="23"/>
                <w:color w:val="auto"/>
                <w:vertAlign w:val="superscript"/>
              </w:rPr>
              <w:t>(2)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Average billable rate per hour: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60" w:hanging="11"/>
        <w:spacing w:after="0" w:line="266" w:lineRule="auto"/>
        <w:rPr>
          <w:sz w:val="20"/>
          <w:szCs w:val="20"/>
          <w:color w:val="auto"/>
        </w:rPr>
      </w:pPr>
      <w:r>
        <w:rPr>
          <w:rFonts w:ascii="Times New Roman" w:cs="Times New Roman" w:eastAsia="Times New Roman" w:hAnsi="Times New Roman"/>
          <w:sz w:val="18"/>
          <w:szCs w:val="18"/>
          <w:color w:val="auto"/>
        </w:rPr>
        <w:t>The number of billable professionals for the Technology segment excludes as-needed professionals, who we employ based on demand for the segment’s services. We employed an average of 609 and 648 as-needed employees during the three months ended September 30, 2026 and 2025, respectively.</w:t>
      </w:r>
    </w:p>
    <w:p>
      <w:pPr>
        <w:spacing w:after="0" w:line="122" w:lineRule="exact"/>
        <w:rPr>
          <w:sz w:val="20"/>
          <w:szCs w:val="20"/>
          <w:color w:val="auto"/>
        </w:rPr>
      </w:pPr>
    </w:p>
    <w:p>
      <w:pPr>
        <w:ind w:right="20" w:hanging="11"/>
        <w:spacing w:after="0" w:line="256" w:lineRule="auto"/>
        <w:rPr>
          <w:sz w:val="20"/>
          <w:szCs w:val="20"/>
          <w:color w:val="auto"/>
        </w:rPr>
      </w:pPr>
      <w:r>
        <w:rPr>
          <w:rFonts w:ascii="Times New Roman" w:cs="Times New Roman" w:eastAsia="Times New Roman" w:hAnsi="Times New Roman"/>
          <w:sz w:val="18"/>
          <w:szCs w:val="18"/>
          <w:color w:val="auto"/>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 holidays. Available working hours include vacation and professional training days, but exclude local country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spacing w:after="0" w:line="133" w:lineRule="exact"/>
        <w:rPr>
          <w:sz w:val="20"/>
          <w:szCs w:val="20"/>
          <w:color w:val="auto"/>
        </w:rPr>
      </w:pPr>
    </w:p>
    <w:p>
      <w:pPr>
        <w:ind w:right="40" w:hanging="11"/>
        <w:spacing w:after="0" w:line="261" w:lineRule="auto"/>
        <w:rPr>
          <w:sz w:val="20"/>
          <w:szCs w:val="20"/>
          <w:color w:val="auto"/>
        </w:rPr>
      </w:pPr>
      <w:r>
        <w:rPr>
          <w:rFonts w:ascii="Times New Roman" w:cs="Times New Roman" w:eastAsia="Times New Roman" w:hAnsi="Times New Roman"/>
          <w:sz w:val="18"/>
          <w:szCs w:val="18"/>
          <w:color w:val="auto"/>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pacing w:after="0" w:line="200" w:lineRule="exact"/>
        <w:rPr>
          <w:sz w:val="20"/>
          <w:szCs w:val="20"/>
          <w:color w:val="auto"/>
        </w:rPr>
      </w:pPr>
    </w:p>
    <w:p>
      <w:pPr>
        <w:sectPr>
          <w:pgSz w:w="11900" w:h="16838" w:orient="portrait"/>
          <w:cols w:equalWidth="0" w:num="2">
            <w:col w:w="140" w:space="520"/>
            <w:col w:w="10580"/>
          </w:cols>
          <w:pgMar w:left="320" w:top="887"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CORPORATE FINANCE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2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7"/>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5"/>
                <w:szCs w:val="15"/>
                <w:color w:val="auto"/>
              </w:rPr>
            </w:pPr>
          </w:p>
        </w:tc>
        <w:tc>
          <w:tcPr>
            <w:tcW w:w="282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195"/>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except rate per hour)</w:t>
            </w: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424,365</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404,896</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1,245,266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1,127,780</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266,231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253,303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798,984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731,026</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58,460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178,308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171,069</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11,696</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1,958</w:t>
            </w:r>
          </w:p>
        </w:tc>
      </w:tr>
      <w:tr>
        <w:trPr>
          <w:trHeight w:val="223"/>
        </w:trPr>
        <w:tc>
          <w:tcPr>
            <w:tcW w:w="49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340,972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311,943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994,168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915,749</w:t>
            </w:r>
          </w:p>
        </w:tc>
      </w:tr>
      <w:tr>
        <w:trPr>
          <w:trHeight w:val="223"/>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83,393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92,953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212,031</w:t>
            </w:r>
          </w:p>
        </w:tc>
      </w:tr>
      <w:tr>
        <w:trPr>
          <w:trHeight w:val="176"/>
        </w:trPr>
        <w:tc>
          <w:tcPr>
            <w:tcW w:w="494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10,285</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11,696</w:t>
            </w:r>
          </w:p>
        </w:tc>
      </w:tr>
      <w:tr>
        <w:trPr>
          <w:trHeight w:val="223"/>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102,845</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96,413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277,458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234,012</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158,134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151,593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446,282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396,754</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2,312</w:t>
            </w:r>
          </w:p>
        </w:tc>
      </w:tr>
      <w:tr>
        <w:trPr>
          <w:trHeight w:val="175"/>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$19.5 million, or 4.8%, to $424.4 million for the three months ended September 30, 2026, primarily due to higher success fees and realized bill rates, which was partially offset by lower demand for turnaround &amp; restructuring and transactions services.</w:t>
      </w:r>
    </w:p>
    <w:p>
      <w:pPr>
        <w:spacing w:after="0" w:line="10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$6.5 million, or 4.3%, to $158.1 million for the three months ended September 30, 2026. Gross profit margin decreased 0.2 percentage points for the three months ended September 30, 2026. The decrease in gross profit margin was primarily due to a 5 percentage point decline in utilization, which was partially offset by higher success fees and realized bill rates.</w:t>
      </w:r>
    </w:p>
    <w:p>
      <w:pPr>
        <w:spacing w:after="0" w:line="122"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$0.3 million, or 0.5%, to $58.5 million for the three months ended September 30, 2026, primarily due to higher compensation and infrastructure support costs, which was nearly offset by lower bad debt expenses. SG&amp;A expenses of 13.8% of revenues for the three months ended September 30, 2026 compared to 14.4% of revenues for the three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$117.5 million, or 10.4%, to $1,245.3 million for the nine months ended September 30, 2026, primarily due to higher realized bill rates, demand and success fees across the business. Excluding an estimated 1.1% positive impact from FX, revenues increased $105.0 million, or 9.3%.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9" w:name="page30"/>
    <w:bookmarkEnd w:id="29"/>
    <w:p>
      <w:pPr>
        <w:ind w:left="100" w:right="1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$49.5 million, or 12.5%, to $446.3 million for the nine months ended September 30, 2026. Gross profit margin increased 0.7 percentage points for the nine months ended September 30, 2026. The increase in gross profit margin was primarily due to higher realized bill rates and success fees.</w:t>
      </w:r>
    </w:p>
    <w:p>
      <w:pPr>
        <w:spacing w:after="0" w:line="122" w:lineRule="exact"/>
        <w:rPr>
          <w:sz w:val="20"/>
          <w:szCs w:val="20"/>
          <w:color w:val="auto"/>
        </w:rPr>
      </w:pPr>
    </w:p>
    <w:p>
      <w:pPr>
        <w:ind w:left="100" w:right="4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$7.2 million, or 4.2%, to $178.3 million for the nine months ended September 30, 2026, primarily due to higher compensation, infrastructure support and other general and administrative expenses, which was partially offset by lower bad debt expenses. The increase in SG&amp;A expenses included an estimated 1.4% negative impact from FX. SG&amp;A expenses of 14.3% of revenues for the nine months ended September 30, 2026 compared to 15.2% of revenues for the nine months ended September 30, 2025.</w:t>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FORENSIC AND LITIGATION CONSULTING</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77"/>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r>
      <w:tr>
        <w:trPr>
          <w:trHeight w:val="195"/>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r>
      <w:tr>
        <w:trPr>
          <w:trHeight w:val="23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195,137</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194,689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582,269</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571,808</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119,595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120,274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373,049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358,995</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39,476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120,435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107,015</w:t>
            </w: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15,707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15,707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4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174,968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154,229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509,800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472,171</w:t>
            </w:r>
          </w:p>
        </w:tc>
      </w:tr>
      <w:tr>
        <w:trPr>
          <w:trHeight w:val="223"/>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72,469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99,637</w:t>
            </w:r>
          </w:p>
        </w:tc>
      </w:tr>
      <w:tr>
        <w:trPr>
          <w:trHeight w:val="176"/>
        </w:trPr>
        <w:tc>
          <w:tcPr>
            <w:tcW w:w="498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6,215</w:t>
            </w: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15,707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5,475</w:t>
            </w:r>
          </w:p>
        </w:tc>
      </w:tr>
      <w:tr>
        <w:trPr>
          <w:trHeight w:val="223"/>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38,037</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42,616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94,655</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111,327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75,542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74,415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209,220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212,813</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1,533</w:t>
            </w:r>
          </w:p>
        </w:tc>
      </w:tr>
      <w:tr>
        <w:trPr>
          <w:trHeight w:val="175"/>
        </w:trPr>
        <w:tc>
          <w:tcPr>
            <w:tcW w:w="4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211455</wp:posOffset>
            </wp:positionV>
            <wp:extent cx="1379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240" w:space="500"/>
            <w:col w:w="10600"/>
          </w:cols>
          <w:pgMar w:left="220" w:top="89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5" w:lineRule="exact"/>
        <w:rPr>
          <w:sz w:val="20"/>
          <w:szCs w:val="20"/>
          <w:color w:val="auto"/>
        </w:rPr>
      </w:pPr>
    </w:p>
    <w:p>
      <w:pPr>
        <w:ind w:left="100" w:right="10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$0.4 million, or 0.2%, to $195.1 million for the three months ended September 30, 2026, primarily due to higher realized bill rates for our dispute advisory, risk &amp; investigations and health solutions services, which was partially offset by lower demand for our risk &amp; investigations and data &amp; analytics services.</w:t>
      </w:r>
    </w:p>
    <w:p>
      <w:pPr>
        <w:spacing w:after="0" w:line="122" w:lineRule="exact"/>
        <w:rPr>
          <w:sz w:val="20"/>
          <w:szCs w:val="20"/>
          <w:color w:val="auto"/>
        </w:rPr>
      </w:pPr>
    </w:p>
    <w:p>
      <w:pPr>
        <w:ind w:left="100" w:right="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$1.1 million, or 1.5%, to $75.5 million for the three months ended September 30, 2026. Gross profit margin increased 0.5 percentage points for the three months ended September 30, 2026. The increase in gross profit margin was primarily due to higher realized bill rates, which was partially offset by a 4 percentage point decrease in utilization.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type w:val="continuous"/>
        </w:sectPr>
      </w:pPr>
    </w:p>
    <w:bookmarkStart w:id="30" w:name="page31"/>
    <w:bookmarkEnd w:id="30"/>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$5.8 million, or 17.0%, to $39.5 million for the three months ended September 30, 2026, primarily due to the recognition of a gain contingency in the prior year period that did not recur, as well as higher bad debt and compensation expenses. SG&amp;A expenses of 20.2% of revenues for the three months ended September 30, 2026 compared to 17.3% of revenues for the three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$10.5 million, or 1.8%, to $582.3 million for the nine months ended September 30, 2026, primarily due to higher realized bill rates, which was partially offset by lower demand across the business. Excluding an estimated 1.0% positive impact from FX, revenues increased $5.0 million, or 0.9%.</w:t>
      </w:r>
    </w:p>
    <w:p>
      <w:pPr>
        <w:spacing w:after="0" w:line="12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Gross profit decreased $3.6 million, or 1.7%, to $209.2 million for the nine months ended September 30, 2026. Gross profit margin decreased 1.3 percentage points for the nine months ended September 30, 2026. The decrease in gross profit margin was primarily due to a 3 percentage point decrease in utilization, which was partially offset by higher realized bill rates.</w:t>
      </w:r>
    </w:p>
    <w:p>
      <w:pPr>
        <w:spacing w:after="0" w:line="12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$13.4 million, or 12.5%, to $120.4 million for the nine months ended September 30, 2026, primarily due to the recognition of a gain contingency in the prior year period that did not recur, as well as higher bad debt and compensation expenses. The increase in SG&amp;A expenses included an estimated 1.0% negative impact from FX. SG&amp;A expenses of 20.7% of revenues for the nine months ended September 30, 2026 compared to 18.7% of revenues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ECONOMIC CONSULTING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189,253</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553,713</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544,604</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147,389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453,824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435,485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29,479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87,391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89,063</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178,515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178,909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542,862</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525,531</w:t>
            </w:r>
          </w:p>
        </w:tc>
        <w:tc>
          <w:tcPr>
            <w:tcW w:w="0" w:type="dxa"/>
            <w:vAlign w:val="bottom"/>
          </w:tcPr>
          <w:p>
            <w:pPr>
              <w:spacing w:after="0"/>
              <w:rPr>
                <w:sz w:val="1"/>
                <w:szCs w:val="1"/>
                <w:color w:val="auto"/>
              </w:rPr>
            </w:pPr>
          </w:p>
        </w:tc>
      </w:tr>
      <w:tr>
        <w:trPr>
          <w:trHeight w:val="223"/>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19,073</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(loss) from prior year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24,052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41,864</w:t>
            </w:r>
          </w:p>
        </w:tc>
        <w:tc>
          <w:tcPr>
            <w:tcW w:w="100" w:type="dxa"/>
            <w:vAlign w:val="bottom"/>
          </w:tcPr>
          <w:p>
            <w:pPr>
              <w:spacing w:after="0"/>
              <w:rPr>
                <w:sz w:val="17"/>
                <w:szCs w:val="17"/>
                <w:color w:val="auto"/>
              </w:rPr>
            </w:pPr>
          </w:p>
        </w:tc>
        <w:tc>
          <w:tcPr>
            <w:tcW w:w="600" w:type="dxa"/>
            <w:vAlign w:val="bottom"/>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25,889</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99,889</w:t>
            </w:r>
          </w:p>
        </w:tc>
        <w:tc>
          <w:tcPr>
            <w:tcW w:w="120" w:type="dxa"/>
            <w:vAlign w:val="bottom"/>
          </w:tcPr>
          <w:p>
            <w:pPr>
              <w:spacing w:after="0"/>
              <w:rPr>
                <w:sz w:val="17"/>
                <w:szCs w:val="17"/>
                <w:color w:val="auto"/>
              </w:rPr>
            </w:pPr>
          </w:p>
        </w:tc>
        <w:tc>
          <w:tcPr>
            <w:tcW w:w="60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109,119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$16.2 million, or 9.3%, to $189.3 million for the three months ended September 30, 2026, primarily due to higher demand for our non-M&amp;A-related antitrust and M&amp;A-related antitrust services, which was partially offset by lower demand for our financial economics services.</w:t>
      </w:r>
    </w:p>
    <w:p>
      <w:pPr>
        <w:spacing w:after="0" w:line="10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$16.0 million, or 61.7%, to $41.9 million for the three months ended September 30, 2026. Gross profit margin increased 7.2 percentage points for the three months ended September 30, 2026. The increase in gross profit margin was primarily due to a 6 percentage point increase in utilization and higher realized bill rates.</w:t>
      </w:r>
    </w:p>
    <w:p>
      <w:pPr>
        <w:spacing w:after="0" w:line="12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SG&amp;A expenses decreased $2.2 million, or 7.0%, to $29.5 million for the three months ended September 30, 2026, primarily driven by lower bad debt expenses, which was partially offset by higher compensation and other general and administrative expenses. SG&amp;A expenses of 15.6% of revenues for the three months ended September 30, 2026 compared to 18.3% of revenues for the three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Revenues increased $9.1 million, or 1.7%, to $553.7 million for the nine months ended September 30, 2026, primarily due to higher realized bill rates for our non-M&amp;A-related antitrust and financial economics services, along with higher demand for our M&amp;A-related antitrust services, which was partially offset by lower demand for our non-M&amp;A-related antitrust and financial economics services. Excluding an estimated 1.3% positive impact from FX, revenues increased $2.2 million, or 0.4%.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Gross profit decreased $9.2 million, or 8.5%, to $99.9 million for the nine months ended September 30, 2026. Gross profit margin decreased 2.0 percentage points for the nine months ended September 30, 2026. The decrease in gross profit margin was primarily due to higher forgivable loan amortization and variable compensation as a percentage of revenues, which was partially offset by higher realized bill rates.</w:t>
      </w:r>
    </w:p>
    <w:p>
      <w:pPr>
        <w:spacing w:after="0" w:line="12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SG&amp;A expenses decreased $1.7 million, or 1.9%, to $87.4 million for the nine months ended September 30, 2026, primarily due to lower bad debt and infrastructure support expenses, which was partially offset by higher compensation and outside services expenses. The decrease in SG&amp;A expenses included an estimated 1.4% negative impact from FX. SG&amp;A expenses of 15.8% of revenues for the nine months ended September 30, 2026 compared to 16.4% of revenues for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7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103,197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94,081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304,537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274,836</w:t>
            </w:r>
          </w:p>
        </w:tc>
        <w:tc>
          <w:tcPr>
            <w:tcW w:w="0" w:type="dxa"/>
            <w:vAlign w:val="bottom"/>
          </w:tcPr>
          <w:p>
            <w:pPr>
              <w:spacing w:after="0"/>
              <w:rPr>
                <w:sz w:val="1"/>
                <w:szCs w:val="1"/>
                <w:color w:val="auto"/>
              </w:rPr>
            </w:pPr>
          </w:p>
        </w:tc>
      </w:tr>
      <w:tr>
        <w:trPr>
          <w:trHeight w:val="22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66,794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185,284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70,184</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94,357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84,795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283,181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257,396</w:t>
            </w:r>
          </w:p>
        </w:tc>
        <w:tc>
          <w:tcPr>
            <w:tcW w:w="0" w:type="dxa"/>
            <w:vAlign w:val="bottom"/>
          </w:tcPr>
          <w:p>
            <w:pPr>
              <w:spacing w:after="0"/>
              <w:rPr>
                <w:sz w:val="1"/>
                <w:szCs w:val="1"/>
                <w:color w:val="auto"/>
              </w:rPr>
            </w:pPr>
          </w:p>
        </w:tc>
      </w:tr>
      <w:tr>
        <w:trPr>
          <w:trHeight w:val="223"/>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17,440</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30,520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36,403</w:t>
            </w:r>
          </w:p>
        </w:tc>
        <w:tc>
          <w:tcPr>
            <w:tcW w:w="12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31,919</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101,546</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89,552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billable professionals (at period end) </w:t>
            </w:r>
            <w:r>
              <w:rPr>
                <w:rFonts w:ascii="Times New Roman" w:cs="Times New Roman" w:eastAsia="Times New Roman" w:hAnsi="Times New Roman"/>
                <w:sz w:val="10"/>
                <w:szCs w:val="10"/>
                <w:color w:val="auto"/>
              </w:rPr>
              <w:t>(3)</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personnel involved in direct client assistance and billable consultants and excludes professionals employed on an as-needed basis</w:t>
      </w:r>
    </w:p>
    <w:p>
      <w:pPr>
        <w:spacing w:after="0" w:line="160" w:lineRule="exact"/>
        <w:rPr>
          <w:sz w:val="20"/>
          <w:szCs w:val="20"/>
          <w:color w:val="auto"/>
        </w:rPr>
      </w:pPr>
    </w:p>
    <w:p>
      <w:pPr>
        <w:sectPr>
          <w:pgSz w:w="11900" w:h="16838" w:orient="portrait"/>
          <w:cols w:equalWidth="0" w:num="2">
            <w:col w:w="140" w:space="500"/>
            <w:col w:w="10600"/>
          </w:cols>
          <w:pgMar w:left="320" w:top="89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$9.1 million, or 9.7%, to $103.2 million for the three months ended September 30, 2026, primarily due to higher demand for our M&amp;A-related “second request” services.</w:t>
      </w:r>
    </w:p>
    <w:p>
      <w:pPr>
        <w:spacing w:after="0" w:line="108"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$4.5 million, or 14.0%, to $36.4 million for the three months ended September 30, 2026. Gross profit margin increased 1.3 percentage points for the three months ended September 30, 2026. The increase in gross profit margin was primarily due to an increase in profitability of our processing and review services, which was partially offset by a decrease in profitability of our hosting services.</w:t>
      </w:r>
    </w:p>
    <w:p>
      <w:pPr>
        <w:spacing w:after="0" w:line="12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$2.0 million, or 9.0%, to $24.7 million for the three months ended September 30, 2026, primarily due to higher bad debt expenses. SG&amp;A expenses of 23.9% of revenues for the three months ended September 30, 2026 compared to 24.1% of revenues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$29.7 million, or 10.8%, to $304.5 million for the nine months ended September 30, 2026, primarily due to higher demand for our M&amp;A-related “second request,” litigation and information governance, privacy &amp; security services, which was partially offset by lower demand for our investigations services. Excluding an estimated 1.1% positive impact from FX, revenues increased $26.8 million, or 9.7%.</w:t>
      </w:r>
    </w:p>
    <w:p>
      <w:pPr>
        <w:spacing w:after="0" w:line="12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$12.0 million, or 13.4%, to $101.5 million for the nine months ended September 30, 2026. Gross profit margin increased 0.8 percentage points for the nine months ended September 30, 2026. The increase in gross profit margin was primarily due to higher profitability of our processing, review and consulting services, which was partially offset by lower profitability of our hosting services.</w:t>
      </w:r>
    </w:p>
    <w:p>
      <w:pPr>
        <w:spacing w:after="0" w:line="122"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$7.1 million, or 10.1%, to $77.3 million for the nine months ended September 30, 2026, primarily due to higher bad debt and compensation expenses. The increase in SG&amp;A expenses included an estimated 1.0% negative impact from FX. SG&amp;A expenses of 25.4% of revenues for the nine months ended September 30, 2026 compared to 25.5% of revenues for the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COMMUNICATIONS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80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100,611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89,415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303,587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279,083</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186,634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177,512</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59,156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56,033</w:t>
            </w: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3,268</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4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86,551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251,299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237,019</w:t>
            </w:r>
          </w:p>
        </w:tc>
      </w:tr>
      <w:tr>
        <w:trPr>
          <w:trHeight w:val="223"/>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42,064</w:t>
            </w:r>
          </w:p>
        </w:tc>
      </w:tr>
      <w:tr>
        <w:trPr>
          <w:trHeight w:val="176"/>
        </w:trPr>
        <w:tc>
          <w:tcPr>
            <w:tcW w:w="498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2,961</w:t>
            </w: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3,268</w:t>
            </w:r>
          </w:p>
        </w:tc>
      </w:tr>
      <w:tr>
        <w:trPr>
          <w:trHeight w:val="223"/>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20,423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16,909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60,810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48,293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101,571</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904</w:t>
            </w:r>
          </w:p>
        </w:tc>
      </w:tr>
      <w:tr>
        <w:trPr>
          <w:trHeight w:val="175"/>
        </w:trPr>
        <w:tc>
          <w:tcPr>
            <w:tcW w:w="4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$11.2 million, or 12.5%, to $100.6 million for the three months ended September 30, 2026, primarily due to higher demand for our public affairs and corporate reputation services.</w:t>
      </w:r>
    </w:p>
    <w:p>
      <w:pPr>
        <w:spacing w:after="0" w:line="10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$4.7 million, or 13.9%, to $38.8 million for the three months ended September 30, 2026. Gross profit margin increased 0.5 percentage points for the three months ended September 30, 2026. The increase in gross profit margin was primarily due to lower compensation expenses as a percentage of revenues.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$1.2 million, or 6.8%, to $19.4 million for the three months ended September 30, 2026, primarily due to higher bad debt, outside services, marketing, and travel and entertainment expenses. SG&amp;A expenses of 19.3% of revenues for the three months ended September 30, 2026 compared to 20.3% of revenues for the three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Revenues increased $24.5 million, or 8.8%, to $303.6 million for the nine months ended September 30, 2026. Excluding pass-through revenues, which decreased by $7.6 million, revenues increased $32.1 million, or 12.9%, to $280.2 million, primarily due to higher demand for our corporate reputation, public affairs and financial communications services. Excluding an estimated 1.6% positive impact from FX, revenues increased $20.1 million, or 7.2%.</w:t>
      </w:r>
    </w:p>
    <w:p>
      <w:pPr>
        <w:spacing w:after="0" w:line="12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$15.4 million, or 15.1%, to $117.0 million for the nine months ended September 30, 2026. Gross profit margin increased 2.1 percentage points for the nine months ended September 30, 2026. The increase in gross profit margin was primarily due to lower compensation expenses as a percentage of revenues, excluding pass-through revenues, as well as the impact of lower pass-through revenues and expenses.</w:t>
      </w:r>
    </w:p>
    <w:p>
      <w:pPr>
        <w:spacing w:after="0" w:line="12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$3.1 million, or 5.6%, to $59.2 million for the nine months ended September 30, 2026, primarily due to higher travel and entertainment, marketing, compensation and outside services expenses. The increase in SG&amp;A expenses included an estimated 1.9% negative impact from FX. SG&amp;A expenses of 19.5% of revenues for the nine months ended September 30, 2026 compared to 20.1% of revenues for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which we have prepared in accordance with GAAP. The preparation of these financial statements requires us to make estimates and judgments that affect the reported amounts of assets, liabilities, revenues and expenses, and related disclosure of contingent assets and liabilities. Note 1 to the Consolidated Financial Statements included in Part II, Item 8, of our Annual Report on Form 10-K for the year ended December 31, 2025 describes the significant accounting policies and methods used in preparation of the Condensed Consolidated Financial Statements in this Quarterly Report on Form 10-Q. 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 The accounting estimates that reflect our more significant judgments, and which we believe are the most critical to aid in fully understanding and evaluating our reported financial results, include the following:</w:t>
      </w:r>
    </w:p>
    <w:p>
      <w:pPr>
        <w:spacing w:after="0" w:line="140" w:lineRule="exact"/>
        <w:rPr>
          <w:sz w:val="20"/>
          <w:szCs w:val="20"/>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7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There were no material changes to our critical accounting estimates from the information provided in “Critical Accounting Estimates” in the Management’s Discussion and Analysis of Financial Condition and Results of Operations, in Part II, Item 7, of our Annual Report on Form 10-K for the year ended December 31, 2025, or from the information provided in Part II, Item 8, of our Annual Report on Form 10-K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NEW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“New Accounting Standards”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Revolving Credit Facility, as necessary, and our Incremental Term Loan under our third amended and restated credit agreement entered into on June 30, 2026 (as amended and restated, the “Credit Agreement”), will provide adequate cash to fund our cash needs for at least the next 12 months.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spacing w:after="0" w:line="122"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and certain equity transactions are translated at historical rates. Resulting net translation adjustments are recorded as a component of stockholders’ equity in “Accumulated other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and Trends Affecting Liquidity</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 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 significant additional funding and could require us to borrow under our Revolving Credit Facility or raise additional debt or equity funding to meet those needs. Our ability to borrow or raise additional capital, if necessary, is subject to a variety of factors that we cannot predict with certainty, including:</w:t>
      </w:r>
    </w:p>
    <w:p>
      <w:pPr>
        <w:spacing w:after="0" w:line="138" w:lineRule="exact"/>
        <w:rPr>
          <w:sz w:val="20"/>
          <w:szCs w:val="20"/>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accounts receivable;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 levels of debt and equity;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overall condition of the capital markets;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our securities.</w:t>
      </w:r>
    </w:p>
    <w:p>
      <w:pPr>
        <w:spacing w:after="0" w:line="17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Any new debt funding, if available, may be on terms less favorable to us than our Revolving Credit Facility and Incremental Term Loan under our Credit Agreement. See “Forward-Looking Statements” in Part I, Item 2, of this Quarterly Report on Form 10-Q, and the information contained under the heading “Risk Factors” in Part I, Item 1A,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60" w:type="dxa"/>
            <w:vAlign w:val="bottom"/>
          </w:tcPr>
          <w:p>
            <w:pPr>
              <w:spacing w:after="0"/>
              <w:rPr>
                <w:sz w:val="16"/>
                <w:szCs w:val="16"/>
                <w:color w:val="auto"/>
              </w:rPr>
            </w:pPr>
          </w:p>
        </w:tc>
        <w:tc>
          <w:tcPr>
            <w:tcW w:w="272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(207,624)</w:t>
            </w: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(50,142)</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(277,283)</w:t>
            </w: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DSO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jc w:val="both"/>
        <w:ind w:left="500" w:right="200" w:hanging="492"/>
        <w:spacing w:after="0" w:line="235" w:lineRule="auto"/>
        <w:tabs>
          <w:tab w:leader="none" w:pos="48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DSO is a performance measure used to assess how quickly revenues are collected by the Company. We calculate DSO at the end of each reporting period by dividing accounts receivable, net reduced by billings in excess of services provided, by revenues for the quarter, adjusted for changes in foreign exchange rates. We multiply the result by the number of days in the quarter.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$240.3 million to $32.7 million compared to net cash used in operating activities of $207.6 million for the nine months ended September 30, 2025. The increase in net cash provided by operating activities was primarily due to a decrease in forgivable loan issuances, higher cash collections and a decrease in income tax payments, which was partially offset by an increase in compensation and operating expense payments. DSO was 101 and 102 days as of September 30, 2026 and 2025, respectively.</w:t>
      </w:r>
    </w:p>
    <w:p>
      <w:pPr>
        <w:spacing w:after="0" w:line="126"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$22.3 million, or 44.5%, to $72.4 million compared to $50.1 million for the nine months ended September 30, 2025. The increase in net cash used in investing activities was due to a $42.1 million payment for a tax equity investment, which was partially offset by a $19.8 million decrease in capital expenditures, primarily related to lower spend on leasehold improvements as compared to the nine months ended September 30, 2025.</w:t>
      </w:r>
    </w:p>
    <w:p>
      <w:pPr>
        <w:spacing w:after="0" w:line="126" w:lineRule="exact"/>
        <w:rPr>
          <w:sz w:val="20"/>
          <w:szCs w:val="20"/>
          <w:color w:val="auto"/>
        </w:rPr>
      </w:pPr>
    </w:p>
    <w:p>
      <w:pPr>
        <w:ind w:right="120" w:firstLine="486"/>
        <w:spacing w:after="0" w:line="281" w:lineRule="auto"/>
        <w:rPr>
          <w:sz w:val="20"/>
          <w:szCs w:val="20"/>
          <w:color w:val="auto"/>
        </w:rPr>
      </w:pPr>
      <w:r>
        <w:rPr>
          <w:rFonts w:ascii="Times New Roman" w:cs="Times New Roman" w:eastAsia="Times New Roman" w:hAnsi="Times New Roman"/>
          <w:sz w:val="17"/>
          <w:szCs w:val="17"/>
          <w:color w:val="auto"/>
        </w:rPr>
        <w:t>Net cash used in financing activities decreased $145.1 million to $132.2 million compared to $277.3 million for the nine months ended September 30, 2025. The decrease in net cash used in financing activities was primarily due to receipt of $300.0 million in proceeds from the Incremental Term Loan and a decrease of $165.6 million in payments for common stock repurchases, including excise tax, under the Repurchase Program, which was partially offset by a decrease in net borrowings of $323.0 million under our Revolving Credit Facility compared to the nine months ended September 30, 2025.</w:t>
      </w:r>
    </w:p>
    <w:p>
      <w:pPr>
        <w:spacing w:after="0" w:line="110"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had an unfavorable impact of $5.0 million during the nine months ended September 30, 2026 compared to a favorable impact of $20.5 million during the nine months ended September 30, 2025.</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Cash paid for income taxes and tax credits, net of refunds, included $6.8 million and $28.9 million of payments for the purchase of tax credits during the nine months ended September 30,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Sources of Capital Resources</w:t>
      </w:r>
    </w:p>
    <w:p>
      <w:pPr>
        <w:spacing w:after="0" w:line="175"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our capital resources included $88.1 million of cash and cash equivalents and available borrowing capacity of $948.0 million under the revolving line of credit under our Revolving Credit Facility. We also hold an Incremental Term Loan in the aggregate amount of $300.0 million, which matures on March 17, 2029.</w:t>
      </w:r>
    </w:p>
    <w:p>
      <w:pPr>
        <w:spacing w:after="0" w:line="122"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availability of borrowings, as well as issuances and extensions of letters of credit under our Revolving Credit Facility, are subject to specified conditions. See Note 8, “Debt” in Part I, Item 1, of this Quarterly Report on Form 10-Q for a further discussion of variable interest rates and guarantees under the Revolving Credit Facility and Incremental Term Loan.</w:t>
      </w:r>
    </w:p>
    <w:p>
      <w:pPr>
        <w:spacing w:after="0" w:line="12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Credit Agreement governing the Revolving Credit Facility and the Incremental Term Loan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or engage in any business other than consulting-related businesses. In addition, the Credit Agreement includes a financial covenant that requires us not to exceed a maximum consolidated total net leverage ratio (the ratio of funded debt (less unrestricted cash up to $400.0 million) to Consolidated EBITDA,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2026, we were in compliance with the covenants contained in the Credit Agreement. See Note 8, “Debt” in Part I, Item 1, of this Quarterly Report on Form 10-Q for a further discussion of the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Uses of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anticipate that our future capital requirements will principally consist of funds required for:</w:t>
      </w:r>
    </w:p>
    <w:p>
      <w:pPr>
        <w:spacing w:after="0" w:line="171"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general corporate expenses;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information technology equipment and systems, office furniture and leasehold improvements;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including interest payments;</w:t>
      </w:r>
    </w:p>
    <w:p>
      <w:pPr>
        <w:spacing w:after="0" w:line="171"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designated executive management and senior managing directors under our various long-term incentive compensation programs, including forgivable loans;</w:t>
      </w:r>
    </w:p>
    <w:p>
      <w:pPr>
        <w:spacing w:after="0" w:line="10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funding of the Repurchase Program;</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related to our acquisitions;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known future contractual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we spent $30.3 million in capital expenditures to support our organization. For the remainder of 2026, we currently expect additional capital expenditures to support our organization in an aggregate amount of between $10 million and $12 million. Our estimate takes into consideration the needs of our existing businesses but does not include the impact of any expenditures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acquisitions.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made $605.3 million in payments, including excise taxes and commissions, for common stock repurchases under the Repurchase Program. We had $264.7 million remaining under the Repurchase Program to repurchase additional shares as of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Obligations</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future contractual obligations as of September 30, 2026 include long-term obligations of $852.0 million related to outstanding borrowings under our Revolving Credit Facility and Incremental Term Loan. For more information on our Revolving Credit Facility and Incremental Term Loan, refer to Note 8, “Debt” in Part I, Item 1 of this Quarterly Report on Form 10-Q. Under our operating leases as described in Note 9, “Leases” in Part I, Item 1 of this Quarterly Report on Form 10-Q, we have current obligations of $39.3 million and non-current obligations of $197.1 million as of September 30, 2026.</w:t>
      </w:r>
    </w:p>
    <w:p>
      <w:pPr>
        <w:spacing w:after="0" w:line="12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above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we were contingently liable under bank guarantees issued in favor of third parties that totaled $18.5 million and $17.5 million, respectively. These bank guarantees primarily support bid and performance obligations and operating leases for office space. The amounts are guaranteed under guarantee facilities totaling $40.9 million and $32.5 million as of September 30, 2026 and December 31, 2025, respectively. We had $22.4 million and $15.0 million available under the guarantee facilities as of September 30, 2026 and December 31, 2025, respectively. These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right="140"/>
        <w:spacing w:after="0" w:line="282" w:lineRule="auto"/>
        <w:rPr>
          <w:sz w:val="20"/>
          <w:szCs w:val="20"/>
          <w:color w:val="auto"/>
        </w:rPr>
      </w:pPr>
      <w:r>
        <w:rPr>
          <w:rFonts w:ascii="Times New Roman" w:cs="Times New Roman" w:eastAsia="Times New Roman" w:hAnsi="Times New Roman"/>
          <w:sz w:val="18"/>
          <w:szCs w:val="18"/>
          <w:color w:val="auto"/>
        </w:rPr>
        <w:t>bank guarantees are issued separately from our Revolving Credit Facility and, as a result, do not affect available borrowing capacity under our Revolving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6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w:t>
      </w:r>
      <w:r>
        <w:rPr>
          <w:rFonts w:ascii="Times New Roman" w:cs="Times New Roman" w:eastAsia="Times New Roman" w:hAnsi="Times New Roman"/>
          <w:sz w:val="18"/>
          <w:szCs w:val="18"/>
          <w:i w:val="1"/>
          <w:iCs w:val="1"/>
          <w:color w:val="auto"/>
        </w:rPr>
        <w:t>“may,” “might,”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“should,” “could,” “would,” “estimates,” “expects,” “anticipates,” “projects,” “plans,” “intends,” “believes,” “commits,” “aspires,” “forecasts,” “future,” “goal,” “seeks” </w:t>
      </w:r>
      <w:r>
        <w:rPr>
          <w:rFonts w:ascii="Times New Roman" w:cs="Times New Roman" w:eastAsia="Times New Roman" w:hAnsi="Times New Roman"/>
          <w:sz w:val="18"/>
          <w:szCs w:val="18"/>
          <w:color w:val="auto"/>
        </w:rPr>
        <w:t>and variations of such words or similar expressions.</w:t>
      </w:r>
    </w:p>
    <w:p>
      <w:pPr>
        <w:spacing w:after="0" w:line="13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There are a number of risks, uncertainties and other factors that could cause our actual results or outcomes, and the timing of our results or outcomes, to differ materially from the forward-looking statements expressed or implied by this Quarterly Report on Form 10-Q.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Quarterly Report on Form 10-Q include those set forth under the heading “Risk Factors” in Part I, Item 1A, of our Annual Report on Form 10-K for the year ended December 31, 2025, as well as in other information that we file with the SEC from time to time, and include, but are not limited to, the following:</w:t>
      </w:r>
    </w:p>
    <w:p>
      <w:pPr>
        <w:spacing w:after="0" w:line="140"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services;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professionals and senior management, including segment, industry and regional leaders;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resulting in our inability to represent certain clients;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former employees joining or forming competing businesses;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legislation rendering contractual protections against competition by former employees unenforceable;</w:t>
      </w:r>
    </w:p>
    <w:p>
      <w:pPr>
        <w:spacing w:after="0" w:line="171" w:lineRule="exact"/>
        <w:rPr>
          <w:rFonts w:ascii="Times New Roman" w:cs="Times New Roman" w:eastAsia="Times New Roman" w:hAnsi="Times New Roman"/>
          <w:sz w:val="18"/>
          <w:szCs w:val="18"/>
          <w:color w:val="auto"/>
        </w:rPr>
      </w:pPr>
    </w:p>
    <w:p>
      <w:pPr>
        <w:ind w:left="740" w:right="4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headcount needs and our professionals’ utilization and billing rates and maintain or increase the pricing of our services and products;</w:t>
      </w:r>
    </w:p>
    <w:p>
      <w:pPr>
        <w:spacing w:after="0" w:line="107" w:lineRule="exact"/>
        <w:rPr>
          <w:rFonts w:ascii="Times New Roman" w:cs="Times New Roman" w:eastAsia="Times New Roman" w:hAnsi="Times New Roman"/>
          <w:sz w:val="18"/>
          <w:szCs w:val="18"/>
          <w:color w:val="auto"/>
        </w:rPr>
      </w:pPr>
    </w:p>
    <w:p>
      <w:pPr>
        <w:ind w:left="740" w:right="52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negotiate favorable terms, take advantage of opportunistic acquisition situations and integrate the operations of acquisitions, as well as the costs of integration;</w:t>
      </w:r>
    </w:p>
    <w:p>
      <w:pPr>
        <w:spacing w:after="0" w:line="10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and manage the risks associated with operating in non-U.S. markets;</w:t>
      </w:r>
    </w:p>
    <w:p>
      <w:pPr>
        <w:spacing w:after="0" w:line="171" w:lineRule="exact"/>
        <w:rPr>
          <w:rFonts w:ascii="Times New Roman" w:cs="Times New Roman" w:eastAsia="Times New Roman" w:hAnsi="Times New Roman"/>
          <w:sz w:val="18"/>
          <w:szCs w:val="18"/>
          <w:color w:val="auto"/>
        </w:rPr>
      </w:pPr>
    </w:p>
    <w:p>
      <w:pPr>
        <w:ind w:left="740" w:right="24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replace key personnel, including former executives, officers, senior managers and practice and regional leaders who have highly specialized skills and experience;</w:t>
      </w:r>
    </w:p>
    <w:p>
      <w:pPr>
        <w:spacing w:after="0" w:line="107" w:lineRule="exact"/>
        <w:rPr>
          <w:rFonts w:ascii="Times New Roman" w:cs="Times New Roman" w:eastAsia="Times New Roman" w:hAnsi="Times New Roman"/>
          <w:sz w:val="18"/>
          <w:szCs w:val="18"/>
          <w:color w:val="auto"/>
        </w:rPr>
      </w:pPr>
    </w:p>
    <w:p>
      <w:pPr>
        <w:ind w:left="740" w:right="32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the confidentiality of internal and client data and proprietary and confidential information, including from cyberattacks, systems failures or other similar events or outside or internal bad actors, or the use or misuse of social media;</w:t>
      </w:r>
    </w:p>
    <w:p>
      <w:pPr>
        <w:spacing w:after="0" w:line="10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judicial rulings, including legislation or rulings regarding data privacy and the discovery process;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revenues, operating income and cash flows;</w:t>
      </w:r>
    </w:p>
    <w:p>
      <w:pPr>
        <w:spacing w:after="0" w:line="171" w:lineRule="exact"/>
        <w:rPr>
          <w:rFonts w:ascii="Times New Roman" w:cs="Times New Roman" w:eastAsia="Times New Roman" w:hAnsi="Times New Roman"/>
          <w:sz w:val="18"/>
          <w:szCs w:val="18"/>
          <w:color w:val="auto"/>
        </w:rPr>
      </w:pPr>
    </w:p>
    <w:p>
      <w:pPr>
        <w:ind w:left="740" w:right="46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as a result of claims involving the quality of our services, failures of our internal information technology systems controls or adverse publicity relating to certain clients or engagements;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9" w:name="page40"/>
    <w:bookmarkEnd w:id="39"/>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discounting or renegotiation, lower pricing, less advantageous contract terms and unexpected termination of client engagements;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clients and key personnel;</w:t>
      </w:r>
    </w:p>
    <w:p>
      <w:pPr>
        <w:spacing w:after="0" w:line="171" w:lineRule="exact"/>
        <w:rPr>
          <w:rFonts w:ascii="Times New Roman" w:cs="Times New Roman" w:eastAsia="Times New Roman" w:hAnsi="Times New Roman"/>
          <w:sz w:val="18"/>
          <w:szCs w:val="18"/>
          <w:color w:val="auto"/>
        </w:rPr>
      </w:pPr>
    </w:p>
    <w:p>
      <w:pPr>
        <w:ind w:left="740" w:right="80" w:hanging="246"/>
        <w:spacing w:after="0" w:line="266"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industry trends, restructuring and bankruptcy rates, legal or regulatory requirements, capital market conditions, merger and acquisition activity, major litigation activity, geopolitical disruptions, including wars and other conflicts, and other events outside of our control;</w:t>
      </w:r>
    </w:p>
    <w:p>
      <w:pPr>
        <w:spacing w:after="0" w:line="12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non-payment of receivables;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terms of our outstanding indebtedness;</w:t>
      </w:r>
    </w:p>
    <w:p>
      <w:pPr>
        <w:spacing w:after="0" w:line="171" w:lineRule="exact"/>
        <w:rPr>
          <w:rFonts w:ascii="Times New Roman" w:cs="Times New Roman" w:eastAsia="Times New Roman" w:hAnsi="Times New Roman"/>
          <w:sz w:val="18"/>
          <w:szCs w:val="18"/>
          <w:color w:val="auto"/>
        </w:rPr>
      </w:pPr>
    </w:p>
    <w:p>
      <w:pPr>
        <w:ind w:left="740" w:right="120" w:hanging="246"/>
        <w:spacing w:after="0" w:line="261"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obsolescence, replacement, protection, implementation or operation of our information technology systems, including our enterprise resource planning and other financial systems, and software, proprietary software products, intellectual property rights and trade secrets, which could adversely affect our ability to retain or win clients, conduct business, preserve or enhance our reputation, maintain business continuity or report financial results;</w:t>
      </w:r>
    </w:p>
    <w:p>
      <w:pPr>
        <w:spacing w:after="0" w:line="125"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adoption and integration of technological innovations such as AI and machine learning;</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disruptions and currency fluctuations between the U.S. dollar and foreign currencies;</w:t>
      </w:r>
    </w:p>
    <w:p>
      <w:pPr>
        <w:spacing w:after="0" w:line="171" w:lineRule="exact"/>
        <w:rPr>
          <w:rFonts w:ascii="Times New Roman" w:cs="Times New Roman" w:eastAsia="Times New Roman" w:hAnsi="Times New Roman"/>
          <w:sz w:val="18"/>
          <w:szCs w:val="18"/>
          <w:color w:val="auto"/>
        </w:rPr>
      </w:pPr>
    </w:p>
    <w:p>
      <w:pPr>
        <w:ind w:left="740" w:right="440" w:hanging="246"/>
        <w:spacing w:after="0" w:line="282"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 law changes, including the enactment of tax legislation, proposed from time to time, into law, which could increase our effective tax rate and cash tax expenditures;</w:t>
      </w:r>
    </w:p>
    <w:p>
      <w:pPr>
        <w:spacing w:after="0" w:line="107" w:lineRule="exact"/>
        <w:rPr>
          <w:rFonts w:ascii="Times New Roman" w:cs="Times New Roman" w:eastAsia="Times New Roman" w:hAnsi="Times New Roman"/>
          <w:sz w:val="18"/>
          <w:szCs w:val="18"/>
          <w:color w:val="auto"/>
        </w:rPr>
      </w:pPr>
    </w:p>
    <w:p>
      <w:pPr>
        <w:ind w:left="740" w:hanging="246"/>
        <w:spacing w:after="0" w:line="266"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risks related to climate change, including rising temperatures, severe storms, energy disruptions, fires or wildfires, flooding and rising sea levels, among others, which could adversely impact our ability to conduct business or maintain business continuity, including by affecting our access to our leased office space in affected geographies and the integrity of our information technology systems;</w:t>
      </w:r>
    </w:p>
    <w:p>
      <w:pPr>
        <w:spacing w:after="0" w:line="121" w:lineRule="exact"/>
        <w:rPr>
          <w:rFonts w:ascii="Times New Roman" w:cs="Times New Roman" w:eastAsia="Times New Roman" w:hAnsi="Times New Roman"/>
          <w:sz w:val="18"/>
          <w:szCs w:val="18"/>
          <w:color w:val="auto"/>
        </w:rPr>
      </w:pPr>
    </w:p>
    <w:p>
      <w:pPr>
        <w:ind w:left="740" w:right="40" w:hanging="246"/>
        <w:spacing w:after="0" w:line="266"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change and sustainability and corporate responsibility-related initiatives and goals, including our policies and practices relating to the environment and climate change, sustainability, and inclusion, if they do not meet or keep pace with current or evolving governmental, investor or other stakeholder or media (including social media) expectations and standards or rules and regulations; and</w:t>
      </w:r>
    </w:p>
    <w:p>
      <w:pPr>
        <w:spacing w:after="0" w:line="12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services and the geographic locations in which our clients are located or our services are rendered.</w:t>
      </w:r>
    </w:p>
    <w:p>
      <w:pPr>
        <w:spacing w:after="0" w:line="17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All forward-looking statements are presented as of the date of this Quarterly Report on Form 10-Q and are expressly qualified in their entirety by the cautionary statements included herein. Except as required by law, we undertake no obligation to publicly update or revise any forward-looking statement for any reason.</w:t>
      </w:r>
    </w:p>
    <w:p>
      <w:pPr>
        <w:spacing w:after="0" w:line="15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7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risks, see “Quantitative and Qualitative Disclosures About Market Risk” in Part II, Item 7A, of our Annual Report on Form 10-K for the year ended December 31, 2025. There have been no material changes in our market risk exposure during the period covered by this Quarterly Report on Form 10-Q.</w:t>
      </w:r>
    </w:p>
    <w:p>
      <w:pPr>
        <w:spacing w:after="0" w:line="15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An evaluation of the effectiveness of the design and operation of our “disclosure controls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(as defined in Rule 13a-15(e) under the Exchange Act), as of the end of the period covered by this Quarterly Report on Form 10-Q,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including our Chief Executive Officer and Chief Financial Officer, as appropriate, to allow timely decisions regarding required disclosure.</w:t>
      </w:r>
    </w:p>
    <w:p>
      <w:pPr>
        <w:spacing w:after="0" w:line="16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5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7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 to claims, asserted or unasserted, or named as a party to lawsuits or investigations. Litigation can be expensive and disruptive to normal business operations. Moreover, the results of legal proceedings cannot be predicted with any certainty, and in the case of more complex legal proceedings the results are difficult to predict at all. We are not aware of any asserted or unasserted legal proceedings or claims that we believe would have a material adverse effect on our financial condition or our results of operations.</w:t>
      </w:r>
    </w:p>
    <w:p>
      <w:pPr>
        <w:spacing w:after="0" w:line="16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There have been no material changes in any risk factors previously disclosed in Part I, Item 1A, of our Annual Report on Form 10-K for the year ended December 31, 2025 filed with the SEC. We may disclose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4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Repurchases of our common stock.</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common stock during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162"/>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80" w:type="dxa"/>
            <w:vAlign w:val="bottom"/>
          </w:tcPr>
          <w:p>
            <w:pPr>
              <w:jc w:val="center"/>
              <w:ind w:left="26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tcPr>
          <w:p>
            <w:pPr>
              <w:jc w:val="center"/>
              <w:ind w:right="162"/>
              <w:spacing w:after="0" w:line="137"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162"/>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3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9"/>
                <w:szCs w:val="9"/>
                <w:b w:val="1"/>
                <w:bCs w:val="1"/>
                <w:color w:val="auto"/>
              </w:rPr>
              <w:t>(1)</w:t>
            </w:r>
          </w:p>
        </w:tc>
        <w:tc>
          <w:tcPr>
            <w:tcW w:w="3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9"/>
        </w:trPr>
        <w:tc>
          <w:tcPr>
            <w:tcW w:w="3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gridSpan w:val="5"/>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(in thousands, except price per share data)</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329,808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151.44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372</w:t>
            </w:r>
          </w:p>
        </w:tc>
        <w:tc>
          <w:tcPr>
            <w:tcW w:w="3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99"/>
              </w:rPr>
              <w:t>(5)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273,533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149.08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264,663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20" w:right="160" w:hanging="11"/>
        <w:spacing w:after="0" w:line="258" w:lineRule="auto"/>
        <w:rPr>
          <w:sz w:val="20"/>
          <w:szCs w:val="20"/>
          <w:color w:val="auto"/>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$370.0 million to an aggregate authorization of $2.6 billion on June 3, 2026. No time limit has been established for the completion of the Repurchase Program, and the Repurchase Program may be suspended, discontinued or replaced by the Board of Directors at any time without prior notice. During the quarter ended September 30, 2026, we repurchased an aggregate of 523,588 shares of our common stock under the Repurchase Program at an average price of $151.55 per share for a total cost of approximately $79.4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13,902 shares of common stock withheld to cover payroll tax withholdings.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7,713 shares of common stock withheld to cover payroll tax withholdings.</w:t>
      </w:r>
    </w:p>
    <w:p>
      <w:pPr>
        <w:spacing w:after="0" w:line="171" w:lineRule="exact"/>
        <w:rPr>
          <w:sz w:val="20"/>
          <w:szCs w:val="20"/>
          <w:color w:val="auto"/>
        </w:rPr>
      </w:pPr>
    </w:p>
    <w:p>
      <w:pPr>
        <w:ind w:left="20" w:right="200" w:hanging="11"/>
        <w:spacing w:after="0" w:line="282" w:lineRule="auto"/>
        <w:rPr>
          <w:sz w:val="20"/>
          <w:szCs w:val="20"/>
          <w:color w:val="auto"/>
        </w:rPr>
      </w:pPr>
      <w:r>
        <w:rPr>
          <w:rFonts w:ascii="Times New Roman" w:cs="Times New Roman" w:eastAsia="Times New Roman" w:hAnsi="Times New Roman"/>
          <w:sz w:val="18"/>
          <w:szCs w:val="18"/>
          <w:color w:val="auto"/>
        </w:rPr>
        <w:t>During the month ended July 31, 2026, we repurchased and retired 92,831 shares of common stock, at an average price per share of $153.11, for an aggregate cost of $14.2 million.</w:t>
      </w:r>
    </w:p>
    <w:p>
      <w:pPr>
        <w:spacing w:after="0" w:line="108" w:lineRule="exact"/>
        <w:rPr>
          <w:sz w:val="20"/>
          <w:szCs w:val="20"/>
          <w:color w:val="auto"/>
        </w:rPr>
      </w:pPr>
    </w:p>
    <w:p>
      <w:pPr>
        <w:ind w:left="20" w:right="140" w:hanging="11"/>
        <w:spacing w:after="0" w:line="282" w:lineRule="auto"/>
        <w:rPr>
          <w:sz w:val="20"/>
          <w:szCs w:val="20"/>
          <w:color w:val="auto"/>
        </w:rPr>
      </w:pPr>
      <w:r>
        <w:rPr>
          <w:rFonts w:ascii="Times New Roman" w:cs="Times New Roman" w:eastAsia="Times New Roman" w:hAnsi="Times New Roman"/>
          <w:sz w:val="18"/>
          <w:szCs w:val="18"/>
          <w:color w:val="auto"/>
        </w:rPr>
        <w:t>During the month ended August 31, 2026, we repurchased and retired 371,560 shares of common stock, at an average price per share of $151.44, for an aggregate cost of $56.3 million.</w:t>
      </w:r>
    </w:p>
    <w:p>
      <w:pPr>
        <w:spacing w:after="0" w:line="108" w:lineRule="exact"/>
        <w:rPr>
          <w:sz w:val="20"/>
          <w:szCs w:val="20"/>
          <w:color w:val="auto"/>
        </w:rPr>
      </w:pPr>
    </w:p>
    <w:p>
      <w:pPr>
        <w:ind w:left="20" w:right="660" w:hanging="11"/>
        <w:spacing w:after="0" w:line="282" w:lineRule="auto"/>
        <w:rPr>
          <w:sz w:val="20"/>
          <w:szCs w:val="20"/>
          <w:color w:val="auto"/>
        </w:rPr>
      </w:pPr>
      <w:r>
        <w:rPr>
          <w:rFonts w:ascii="Times New Roman" w:cs="Times New Roman" w:eastAsia="Times New Roman" w:hAnsi="Times New Roman"/>
          <w:sz w:val="18"/>
          <w:szCs w:val="18"/>
          <w:color w:val="auto"/>
        </w:rPr>
        <w:t>During the month ended September 30, 2026, we repurchased and retired 59,197 shares of common stock, at an average price per share of $149.81, for an aggregate cost of $8.9 million.</w:t>
      </w:r>
    </w:p>
    <w:p>
      <w:pPr>
        <w:spacing w:after="0" w:line="200"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2" w:name="page43"/>
    <w:bookmarkEnd w:id="42"/>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 Trading Plans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no director or Section 16 officer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27" w:right="75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221"/>
        </w:trPr>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80" w:type="dxa"/>
            <w:vAlign w:val="bottom"/>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640"/>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00" w:type="dxa"/>
            <w:vAlign w:val="bottom"/>
          </w:tcPr>
          <w:p>
            <w:pPr>
              <w:spacing w:after="0"/>
              <w:rPr>
                <w:sz w:val="24"/>
                <w:szCs w:val="24"/>
                <w:color w:val="auto"/>
              </w:rPr>
            </w:pPr>
          </w:p>
        </w:tc>
        <w:tc>
          <w:tcPr>
            <w:tcW w:w="880" w:type="dxa"/>
            <w:vAlign w:val="bottom"/>
            <w:vMerge w:val="restart"/>
          </w:tcPr>
          <w:p>
            <w:pPr>
              <w:spacing w:after="0"/>
              <w:rPr>
                <w:sz w:val="24"/>
                <w:szCs w:val="24"/>
                <w:color w:val="auto"/>
              </w:rPr>
            </w:pPr>
          </w:p>
        </w:tc>
        <w:tc>
          <w:tcPr>
            <w:tcW w:w="36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19"/>
                <w:szCs w:val="19"/>
                <w:color w:val="auto"/>
              </w:rPr>
            </w:pPr>
          </w:p>
        </w:tc>
        <w:tc>
          <w:tcPr>
            <w:tcW w:w="492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Articles of Incorporation of FTI Consulting, Inc., as Amended and Restated</w:t>
              </w:r>
            </w:hyperlink>
          </w:p>
        </w:tc>
        <w:tc>
          <w:tcPr>
            <w:tcW w:w="15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9"/>
              </w:rPr>
              <w:t>3.2</w:t>
            </w:r>
          </w:p>
        </w:tc>
        <w:tc>
          <w:tcPr>
            <w:tcW w:w="320" w:type="dxa"/>
            <w:vAlign w:val="bottom"/>
          </w:tcPr>
          <w:p>
            <w:pPr>
              <w:spacing w:after="0"/>
              <w:rPr>
                <w:sz w:val="19"/>
                <w:szCs w:val="19"/>
                <w:color w:val="auto"/>
              </w:rPr>
            </w:pPr>
          </w:p>
        </w:tc>
        <w:tc>
          <w:tcPr>
            <w:tcW w:w="502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Articles of Amendment dated June 1, 2011 to Charter of FTI Consulting, Inc.</w:t>
              </w:r>
            </w:hyperlink>
          </w:p>
        </w:tc>
        <w:tc>
          <w:tcPr>
            <w:tcW w:w="14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9"/>
              </w:rPr>
              <w:t>3.3</w:t>
            </w:r>
          </w:p>
        </w:tc>
        <w:tc>
          <w:tcPr>
            <w:tcW w:w="320" w:type="dxa"/>
            <w:vAlign w:val="bottom"/>
          </w:tcPr>
          <w:p>
            <w:pPr>
              <w:spacing w:after="0"/>
              <w:rPr>
                <w:sz w:val="19"/>
                <w:szCs w:val="19"/>
                <w:color w:val="auto"/>
              </w:rPr>
            </w:pPr>
          </w:p>
        </w:tc>
        <w:tc>
          <w:tcPr>
            <w:tcW w:w="56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Bylaws of FTI Consulting, Inc., as Amended and Restated Adopted February 21, 2023</w:t>
              </w:r>
            </w:hyperlink>
          </w:p>
        </w:tc>
        <w:tc>
          <w:tcPr>
            <w:tcW w:w="8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9"/>
              </w:rPr>
              <w:t>31.1*</w:t>
            </w:r>
          </w:p>
        </w:tc>
        <w:tc>
          <w:tcPr>
            <w:tcW w:w="320" w:type="dxa"/>
            <w:vAlign w:val="bottom"/>
          </w:tcPr>
          <w:p>
            <w:pPr>
              <w:spacing w:after="0"/>
              <w:rPr>
                <w:sz w:val="18"/>
                <w:szCs w:val="18"/>
                <w:color w:val="auto"/>
              </w:rPr>
            </w:pPr>
          </w:p>
        </w:tc>
        <w:tc>
          <w:tcPr>
            <w:tcW w:w="64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13a-14(a) and 15d-14(a) under the</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amended (Section 302 of the Sarbanes-Oxley Act of 2002)</w:t>
            </w: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9"/>
              </w:rPr>
              <w:t>31.2*</w:t>
            </w:r>
          </w:p>
        </w:tc>
        <w:tc>
          <w:tcPr>
            <w:tcW w:w="320" w:type="dxa"/>
            <w:vAlign w:val="bottom"/>
          </w:tcPr>
          <w:p>
            <w:pPr>
              <w:spacing w:after="0"/>
              <w:rPr>
                <w:sz w:val="17"/>
                <w:szCs w:val="17"/>
                <w:color w:val="auto"/>
              </w:rPr>
            </w:pPr>
          </w:p>
        </w:tc>
        <w:tc>
          <w:tcPr>
            <w:tcW w:w="64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13a-14(a) and 15d-14(a) under the</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amended (Section 302 of the Sarbanes-Oxley Act of 2002)</w:t>
            </w:r>
          </w:p>
        </w:tc>
        <w:tc>
          <w:tcPr>
            <w:tcW w:w="40" w:type="dxa"/>
            <w:vAlign w:val="bottom"/>
            <w:tcBorders>
              <w:bottom w:val="single" w:sz="8" w:color="0000FF"/>
            </w:tcBorders>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9"/>
              </w:rPr>
              <w:t>32.1**</w:t>
            </w:r>
          </w:p>
        </w:tc>
        <w:tc>
          <w:tcPr>
            <w:tcW w:w="320" w:type="dxa"/>
            <w:vAlign w:val="bottom"/>
          </w:tcPr>
          <w:p>
            <w:pPr>
              <w:spacing w:after="0"/>
              <w:rPr>
                <w:sz w:val="17"/>
                <w:szCs w:val="17"/>
                <w:color w:val="auto"/>
              </w:rPr>
            </w:pPr>
          </w:p>
        </w:tc>
        <w:tc>
          <w:tcPr>
            <w:tcW w:w="64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(Section 906 of the</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4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9"/>
              </w:rPr>
              <w:t>32.2**</w:t>
            </w:r>
          </w:p>
        </w:tc>
        <w:tc>
          <w:tcPr>
            <w:tcW w:w="320" w:type="dxa"/>
            <w:vAlign w:val="bottom"/>
          </w:tcPr>
          <w:p>
            <w:pPr>
              <w:spacing w:after="0"/>
              <w:rPr>
                <w:sz w:val="17"/>
                <w:szCs w:val="17"/>
                <w:color w:val="auto"/>
              </w:rPr>
            </w:pPr>
          </w:p>
        </w:tc>
        <w:tc>
          <w:tcPr>
            <w:tcW w:w="64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(Section 906 of the</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1100" w:hanging="701"/>
        <w:spacing w:after="0" w:line="219" w:lineRule="auto"/>
        <w:tabs>
          <w:tab w:leader="none" w:pos="1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the Quarterly Report on Form 10-Q of FTI Consulting, Inc., included herewith, and formatted in Inline XBRL (eXtensible Business Reporting Language): (i) Condensed Consolidated Balance Sheets as of September 30, 2026 and December 31, 2025; (ii) Condensed Consolidated Statements of Comprehensive Income for the three and nine months ended September 30, 2026 and 2025; (iii) Condensed Consolidated Statements of Stockholders’ Equity for the three and nine months ended September 30, 2026 and 2025; (iv) Condensed Consolidated Statements of Cash Flows for the nine months ended September 30, 2026 and 2025; and (v) Notes to the Condensed Consolidated Financial Statements, tagged as blocks of text.</w:t>
      </w:r>
    </w:p>
    <w:p>
      <w:pPr>
        <w:spacing w:after="0" w:line="7" w:lineRule="exact"/>
        <w:rPr>
          <w:sz w:val="20"/>
          <w:szCs w:val="20"/>
          <w:color w:val="auto"/>
        </w:rPr>
      </w:pPr>
    </w:p>
    <w:p>
      <w:pPr>
        <w:ind w:left="1100" w:right="120" w:hanging="701"/>
        <w:spacing w:after="0" w:line="245" w:lineRule="auto"/>
        <w:tabs>
          <w:tab w:leader="none" w:pos="11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 ended September 30, 2026,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3798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33655</wp:posOffset>
            </wp:positionV>
            <wp:extent cx="2100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0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4"/>
        </w:trPr>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70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260" w:type="dxa"/>
            <w:vAlign w:val="bottom"/>
          </w:tcPr>
          <w:p>
            <w:pPr>
              <w:spacing w:after="0"/>
              <w:rPr>
                <w:sz w:val="21"/>
                <w:szCs w:val="21"/>
                <w:color w:val="auto"/>
              </w:rPr>
            </w:pPr>
          </w:p>
        </w:tc>
        <w:tc>
          <w:tcPr>
            <w:tcW w:w="102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rPr>
              <w:t>05/23/2003</w:t>
            </w:r>
          </w:p>
        </w:tc>
      </w:tr>
      <w:tr>
        <w:trPr>
          <w:trHeight w:val="243"/>
        </w:trPr>
        <w:tc>
          <w:tcPr>
            <w:tcW w:w="104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color w:val="auto"/>
              </w:rPr>
              <w:t>8-K</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260" w:type="dxa"/>
            <w:vAlign w:val="bottom"/>
          </w:tcPr>
          <w:p>
            <w:pPr>
              <w:spacing w:after="0"/>
              <w:rPr>
                <w:sz w:val="21"/>
                <w:szCs w:val="21"/>
                <w:color w:val="auto"/>
              </w:rPr>
            </w:pPr>
          </w:p>
        </w:tc>
        <w:tc>
          <w:tcPr>
            <w:tcW w:w="102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rPr>
              <w:t>06/02/2011</w:t>
            </w:r>
          </w:p>
        </w:tc>
      </w:tr>
      <w:tr>
        <w:trPr>
          <w:trHeight w:val="243"/>
        </w:trPr>
        <w:tc>
          <w:tcPr>
            <w:tcW w:w="104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color w:val="auto"/>
              </w:rPr>
              <w:t>8-K</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260" w:type="dxa"/>
            <w:vAlign w:val="bottom"/>
          </w:tcPr>
          <w:p>
            <w:pPr>
              <w:spacing w:after="0"/>
              <w:rPr>
                <w:sz w:val="21"/>
                <w:szCs w:val="21"/>
                <w:color w:val="auto"/>
              </w:rPr>
            </w:pPr>
          </w:p>
        </w:tc>
        <w:tc>
          <w:tcPr>
            <w:tcW w:w="102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rPr>
              <w:t>02/21/2023</w:t>
            </w:r>
          </w:p>
        </w:tc>
      </w:tr>
    </w:tbl>
    <w:p>
      <w:pPr>
        <w:spacing w:after="0" w:line="3470" w:lineRule="exact"/>
        <w:rPr>
          <w:sz w:val="20"/>
          <w:szCs w:val="20"/>
          <w:color w:val="auto"/>
        </w:rPr>
      </w:pPr>
    </w:p>
    <w:p>
      <w:pPr>
        <w:sectPr>
          <w:pgSz w:w="11900" w:h="16838" w:orient="portrait"/>
          <w:cols w:equalWidth="0" w:num="2">
            <w:col w:w="7840" w:space="440"/>
            <w:col w:w="2840"/>
          </w:cols>
          <w:pgMar w:left="320" w:top="925" w:right="45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6" w:lineRule="exact"/>
        <w:rPr>
          <w:sz w:val="20"/>
          <w:szCs w:val="20"/>
          <w:color w:val="auto"/>
        </w:rPr>
      </w:pPr>
    </w:p>
    <w:p>
      <w:pPr>
        <w:ind w:firstLine="8"/>
        <w:spacing w:after="0" w:line="288" w:lineRule="auto"/>
        <w:tabs>
          <w:tab w:leader="none" w:pos="2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5" w:right="459" w:bottom="1440" w:gutter="0" w:footer="0" w:header="0"/>
          <w:type w:val="continuous"/>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3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FTI CONSULTING, INC.</w:t>
      </w:r>
    </w:p>
    <w:p>
      <w:pPr>
        <w:spacing w:after="0" w:line="77" w:lineRule="exact"/>
        <w:rPr>
          <w:sz w:val="20"/>
          <w:szCs w:val="20"/>
          <w:color w:val="auto"/>
        </w:rPr>
      </w:pPr>
    </w:p>
    <w:p>
      <w:pPr>
        <w:ind w:left="56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J.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Brendan J. Keating</w:t>
      </w:r>
    </w:p>
    <w:p>
      <w:pPr>
        <w:spacing w:after="0" w:line="1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Accounting Officer and</w:t>
      </w: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Controller</w:t>
      </w:r>
    </w:p>
    <w:p>
      <w:pPr>
        <w:spacing w:after="0" w:line="1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887"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 Gunby, certify that:</w:t>
      </w:r>
    </w:p>
    <w:p>
      <w:pPr>
        <w:spacing w:after="0" w:line="144" w:lineRule="exact"/>
        <w:rPr>
          <w:sz w:val="20"/>
          <w:szCs w:val="20"/>
          <w:color w:val="auto"/>
        </w:rPr>
      </w:pPr>
    </w:p>
    <w:p>
      <w:pPr>
        <w:ind w:left="740" w:hanging="714"/>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30" w:lineRule="exact"/>
        <w:rPr>
          <w:rFonts w:ascii="Times New Roman" w:cs="Times New Roman" w:eastAsia="Times New Roman" w:hAnsi="Times New Roman"/>
          <w:sz w:val="18"/>
          <w:szCs w:val="18"/>
          <w:color w:val="auto"/>
        </w:rPr>
      </w:pPr>
    </w:p>
    <w:p>
      <w:pPr>
        <w:ind w:left="740" w:right="100" w:hanging="714"/>
        <w:spacing w:after="0" w:line="231"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740" w:right="300" w:hanging="714"/>
        <w:spacing w:after="0" w:line="237"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740" w:right="220" w:hanging="714"/>
        <w:spacing w:after="0" w:line="227"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7"/>
          <w:szCs w:val="17"/>
          <w:color w:val="auto"/>
        </w:rPr>
      </w:pPr>
    </w:p>
    <w:p>
      <w:pPr>
        <w:ind w:left="980" w:right="60" w:hanging="324"/>
        <w:spacing w:after="0" w:line="257"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740" w:right="180" w:hanging="714"/>
        <w:spacing w:after="0" w:line="237"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387" w:lineRule="exact"/>
        <w:rPr>
          <w:sz w:val="20"/>
          <w:szCs w:val="20"/>
          <w:color w:val="auto"/>
        </w:rPr>
      </w:pPr>
    </w:p>
    <w:p>
      <w:pPr>
        <w:ind w:left="560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91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Nam, certify that:</w:t>
      </w:r>
    </w:p>
    <w:p>
      <w:pPr>
        <w:spacing w:after="0" w:line="144" w:lineRule="exact"/>
        <w:rPr>
          <w:sz w:val="20"/>
          <w:szCs w:val="20"/>
          <w:color w:val="auto"/>
        </w:rPr>
      </w:pPr>
    </w:p>
    <w:p>
      <w:pPr>
        <w:ind w:left="740" w:hanging="714"/>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30" w:lineRule="exact"/>
        <w:rPr>
          <w:rFonts w:ascii="Times New Roman" w:cs="Times New Roman" w:eastAsia="Times New Roman" w:hAnsi="Times New Roman"/>
          <w:sz w:val="18"/>
          <w:szCs w:val="18"/>
          <w:color w:val="auto"/>
        </w:rPr>
      </w:pPr>
    </w:p>
    <w:p>
      <w:pPr>
        <w:ind w:left="740" w:right="100" w:hanging="714"/>
        <w:spacing w:after="0" w:line="231"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740" w:right="300" w:hanging="714"/>
        <w:spacing w:after="0" w:line="237"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740" w:right="220" w:hanging="714"/>
        <w:spacing w:after="0" w:line="227" w:lineRule="auto"/>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7"/>
          <w:szCs w:val="17"/>
          <w:color w:val="auto"/>
        </w:rPr>
      </w:pPr>
    </w:p>
    <w:p>
      <w:pPr>
        <w:ind w:left="980" w:right="60" w:hanging="324"/>
        <w:spacing w:after="0" w:line="257"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740" w:right="180" w:hanging="714"/>
        <w:spacing w:after="0" w:line="237"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387" w:lineRule="exact"/>
        <w:rPr>
          <w:sz w:val="20"/>
          <w:szCs w:val="20"/>
          <w:color w:val="auto"/>
        </w:rPr>
      </w:pPr>
    </w:p>
    <w:p>
      <w:pPr>
        <w:ind w:left="5600"/>
        <w:spacing w:after="0"/>
        <w:tabs>
          <w:tab w:leader="none" w:pos="8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915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Angela Nam</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September 30, 2026, as filed with the Securities and Exchange Commission on the date hereof (the “Report”), I, Steven H. Gunby, Chief Executive Officer and Chairman (principal executive officer) of the Company, certify, pursuant to 18 U.S.C. Section 1350, as adopted pursuant to Section 906 of the Sarbanes-Oxley Act of 2002, that to the best of my knowledge:</w:t>
      </w:r>
    </w:p>
    <w:p>
      <w:pPr>
        <w:spacing w:after="0" w:line="99" w:lineRule="exact"/>
        <w:rPr>
          <w:sz w:val="20"/>
          <w:szCs w:val="20"/>
          <w:color w:val="auto"/>
        </w:rPr>
      </w:pPr>
    </w:p>
    <w:p>
      <w:pPr>
        <w:ind w:left="740" w:hanging="714"/>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right="120" w:firstLine="26"/>
        <w:spacing w:after="0" w:line="391" w:lineRule="auto"/>
        <w:tabs>
          <w:tab w:leader="none" w:pos="7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29, 2026</w:t>
      </w:r>
    </w:p>
    <w:p>
      <w:pPr>
        <w:spacing w:after="0" w:line="244" w:lineRule="exact"/>
        <w:rPr>
          <w:sz w:val="20"/>
          <w:szCs w:val="20"/>
          <w:color w:val="auto"/>
        </w:rPr>
      </w:pPr>
    </w:p>
    <w:p>
      <w:pPr>
        <w:ind w:left="60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3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September 30, 2026, as filed with the Securities and Exchange Commission on the date hereof (the “Report”), I, Angela Nam, Chief Financial Officer (principal financial officer) of the Company, certify, pursuant to 18 U.S.C. Section 1350, as adopted pursuant to Section 906 of the Sarbanes-Oxley Act of 2002, that to the best of my knowledge:</w:t>
      </w:r>
    </w:p>
    <w:p>
      <w:pPr>
        <w:spacing w:after="0" w:line="99" w:lineRule="exact"/>
        <w:rPr>
          <w:sz w:val="20"/>
          <w:szCs w:val="20"/>
          <w:color w:val="auto"/>
        </w:rPr>
      </w:pPr>
    </w:p>
    <w:p>
      <w:pPr>
        <w:ind w:left="740" w:hanging="714"/>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right="120" w:firstLine="26"/>
        <w:spacing w:after="0" w:line="391" w:lineRule="auto"/>
        <w:tabs>
          <w:tab w:leader="none" w:pos="7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29, 2026</w:t>
      </w:r>
    </w:p>
    <w:p>
      <w:pPr>
        <w:spacing w:after="0" w:line="244" w:lineRule="exact"/>
        <w:rPr>
          <w:sz w:val="20"/>
          <w:szCs w:val="20"/>
          <w:color w:val="auto"/>
        </w:rPr>
      </w:pPr>
    </w:p>
    <w:p>
      <w:pPr>
        <w:ind w:left="6000"/>
        <w:spacing w:after="0"/>
        <w:tabs>
          <w:tab w:leader="none" w:pos="8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26035</wp:posOffset>
            </wp:positionV>
            <wp:extent cx="3334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Angela Nam</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3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4"/>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73" Type="http://schemas.openxmlformats.org/officeDocument/2006/relationships/hyperlink" Target="https://www.sec.gov/Archives/edgar/data/887936/000102140803008198/dex992.txt" TargetMode="External"/><Relationship Id="rId74" Type="http://schemas.openxmlformats.org/officeDocument/2006/relationships/hyperlink" Target="https://www.sec.gov/Archives/edgar/data/887936/000119312511157222/dex31.htm" TargetMode="External"/><Relationship Id="rId75" Type="http://schemas.openxmlformats.org/officeDocument/2006/relationships/hyperlink" Target="https://www.sec.gov/Archives/edgar/data/887936/000119312523043569/d46535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2026-10-29T06:33:31Z</dcterms:created>
  <dcterms:modified xsi:type="dcterms:W3CDTF">2026-10-29T06:33:31Z</dcterms:modified>
</cp:coreProperties>
</file>