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fiscal year ended December 31,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001-14875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FTI CONSULTING,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09" w:type="dxa"/>
        <w:jc w:val="left"/>
        <w:tblInd w:w="0" w:type="dxa"/>
        <w:tblLayout w:type="fixed"/>
        <w:tblCellMar>
          <w:top w:w="28" w:type="dxa"/>
          <w:left w:w="28" w:type="dxa"/>
          <w:bottom w:w="28" w:type="dxa"/>
          <w:right w:w="28" w:type="dxa"/>
        </w:tblCellMar>
      </w:tblPr>
      <w:tblGrid>
        <w:gridCol w:w="1058"/>
        <w:gridCol w:w="929"/>
        <w:gridCol w:w="938"/>
        <w:gridCol w:w="432"/>
        <w:gridCol w:w="432"/>
        <w:gridCol w:w="620"/>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Maryland</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52-1261113</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555 12th Street NW,</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Washington,</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DC</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20004</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 312-9100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079" w:type="dxa"/>
        <w:jc w:val="center"/>
        <w:tblInd w:w="0" w:type="dxa"/>
        <w:tblLayout w:type="fixed"/>
        <w:tblCellMar>
          <w:top w:w="28" w:type="dxa"/>
          <w:left w:w="28" w:type="dxa"/>
          <w:bottom w:w="28" w:type="dxa"/>
          <w:right w:w="28" w:type="dxa"/>
        </w:tblCellMar>
      </w:tblPr>
      <w:tblGrid>
        <w:gridCol w:w="933"/>
        <w:gridCol w:w="821"/>
        <w:gridCol w:w="826"/>
        <w:gridCol w:w="109"/>
        <w:gridCol w:w="109"/>
        <w:gridCol w:w="109"/>
        <w:gridCol w:w="454"/>
        <w:gridCol w:w="454"/>
        <w:gridCol w:w="456"/>
        <w:gridCol w:w="109"/>
        <w:gridCol w:w="109"/>
        <w:gridCol w:w="109"/>
        <w:gridCol w:w="1019"/>
        <w:gridCol w:w="1019"/>
        <w:gridCol w:w="1443"/>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tbl>
      <w:tblPr>
        <w:tblW w:w="5618" w:type="dxa"/>
        <w:jc w:val="left"/>
        <w:tblInd w:w="0" w:type="dxa"/>
        <w:tblLayout w:type="fixed"/>
        <w:tblCellMar>
          <w:top w:w="28" w:type="dxa"/>
          <w:left w:w="28" w:type="dxa"/>
          <w:bottom w:w="28" w:type="dxa"/>
          <w:right w:w="28" w:type="dxa"/>
        </w:tblCellMar>
      </w:tblPr>
      <w:tblGrid>
        <w:gridCol w:w="124"/>
        <w:gridCol w:w="109"/>
        <w:gridCol w:w="109"/>
        <w:gridCol w:w="1633"/>
        <w:gridCol w:w="1633"/>
        <w:gridCol w:w="163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 None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a well-known seasoned issuer, as defined in Rule 405 of the Securities Act.    Yes  ☒    No  ☐</w:t>
      </w:r>
    </w:p>
    <w:p>
      <w:pPr>
        <w:pStyle w:val="TextBody"/>
        <w:bidi w:val="0"/>
        <w:spacing w:lineRule="auto" w:line="288" w:before="6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not required to file reports pursuant to Section 13 or Section 15(d) of the Act.    Yes  ☐    No  ☒</w:t>
      </w:r>
    </w:p>
    <w:p>
      <w:pPr>
        <w:pStyle w:val="TextBody"/>
        <w:bidi w:val="0"/>
        <w:spacing w:lineRule="auto" w:line="288" w:before="6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Act).    Yes  ☐    No  ☒</w:t>
      </w:r>
    </w:p>
    <w:p>
      <w:pPr>
        <w:pStyle w:val="TextBody"/>
        <w:bidi w:val="0"/>
        <w:spacing w:lineRule="auto" w:line="288" w:before="6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voting and non-voting common stock held by non-affiliates of the registrant was $4.6 billion, based on the closing sales price of the registrant’s common stock on June 30, 2025, the last business day of the registrant's most recently completed second fiscal quarter.</w:t>
      </w:r>
    </w:p>
    <w:p>
      <w:pPr>
        <w:pStyle w:val="TextBody"/>
        <w:bidi w:val="0"/>
        <w:spacing w:lineRule="auto" w:line="288" w:before="60" w:after="6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outstanding as of February 19, 2026 was 30,581,897.</w:t>
      </w:r>
    </w:p>
    <w:tbl>
      <w:tblPr>
        <w:tblW w:w="10205" w:type="dxa"/>
        <w:jc w:val="left"/>
        <w:tblInd w:w="0" w:type="dxa"/>
        <w:tblLayout w:type="fixed"/>
        <w:tblCellMar>
          <w:top w:w="28" w:type="dxa"/>
          <w:left w:w="28" w:type="dxa"/>
          <w:bottom w:w="28" w:type="dxa"/>
          <w:right w:w="28" w:type="dxa"/>
        </w:tblCellMar>
      </w:tblPr>
      <w:tblGrid>
        <w:gridCol w:w="308"/>
        <w:gridCol w:w="271"/>
        <w:gridCol w:w="271"/>
        <w:gridCol w:w="2807"/>
        <w:gridCol w:w="2807"/>
        <w:gridCol w:w="2813"/>
        <w:gridCol w:w="271"/>
        <w:gridCol w:w="271"/>
        <w:gridCol w:w="386"/>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DOCUMENTS INCORPORATED BY REFERENCE</w:t>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Portions of our definitive Proxy Statement to be filed with the U.S. Securities and Exchange Commission within 120 days after the end of our 2025 fiscal year are incorporated by reference into Part III of this Annual Report on Form 10-K to the extent stated herein.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FTI CONSULTING,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Fiscal Year Ended December 31, 2025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3"/>
        <w:gridCol w:w="258"/>
        <w:gridCol w:w="260"/>
        <w:gridCol w:w="2951"/>
        <w:gridCol w:w="2929"/>
        <w:gridCol w:w="2942"/>
        <w:gridCol w:w="167"/>
        <w:gridCol w:w="167"/>
        <w:gridCol w:w="238"/>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13">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16">
              <w:r>
                <w:rPr>
                  <w:rStyle w:val="InternetLink"/>
                  <w:rFonts w:ascii="Times New Roman;serif" w:hAnsi="Times New Roman;serif"/>
                  <w:b w:val="false"/>
                  <w:color w:val="0000FF"/>
                  <w:sz w:val="20"/>
                  <w:u w:val="single"/>
                </w:rPr>
                <w:t>15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Unresolved Staff Comments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19">
              <w:r>
                <w:rPr>
                  <w:rStyle w:val="InternetLink"/>
                  <w:rFonts w:ascii="Times New Roman;serif" w:hAnsi="Times New Roman;serif"/>
                  <w:b w:val="false"/>
                  <w:color w:val="0000FF"/>
                  <w:sz w:val="20"/>
                  <w:u w:val="single"/>
                </w:rPr>
                <w:t>28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Cybersecurity</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19">
              <w:r>
                <w:rPr>
                  <w:rStyle w:val="InternetLink"/>
                  <w:rFonts w:ascii="Times New Roman;serif" w:hAnsi="Times New Roman;serif"/>
                  <w:b w:val="false"/>
                  <w:color w:val="0000FF"/>
                  <w:sz w:val="20"/>
                  <w:u w:val="single"/>
                </w:rPr>
                <w:t>28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25">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28">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31">
              <w:r>
                <w:rPr>
                  <w:rStyle w:val="InternetLink"/>
                  <w:rFonts w:ascii="Times New Roman;serif" w:hAnsi="Times New Roman;serif"/>
                  <w:b w:val="false"/>
                  <w:color w:val="0000FF"/>
                  <w:sz w:val="20"/>
                  <w:u w:val="single"/>
                </w:rPr>
                <w:t>30</w:t>
              </w:r>
            </w:hyperlink>
          </w:p>
        </w:tc>
      </w:tr>
      <w:tr>
        <w:trPr/>
        <w:tc>
          <w:tcPr>
            <w:tcW w:w="963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for the Registrant’s Common Equity, Related Stockholder Matters and Issuer Purchases of Equity Securities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37">
              <w:r>
                <w:rPr>
                  <w:rStyle w:val="InternetLink"/>
                  <w:rFonts w:ascii="Times New Roman;serif" w:hAnsi="Times New Roman;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40">
              <w:r>
                <w:rPr>
                  <w:rStyle w:val="InternetLink"/>
                  <w:rFonts w:ascii="Times New Roman;serif" w:hAnsi="Times New Roman;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46">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88">
              <w:r>
                <w:rPr>
                  <w:rStyle w:val="InternetLink"/>
                  <w:rFonts w:ascii="Times New Roman;serif" w:hAnsi="Times New Roman;serif"/>
                  <w:b w:val="false"/>
                  <w:color w:val="0000FF"/>
                  <w:sz w:val="20"/>
                  <w:u w:val="single"/>
                </w:rPr>
                <w:t>51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and Supplementary Data</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91">
              <w:r>
                <w:rPr>
                  <w:rStyle w:val="InternetLink"/>
                  <w:rFonts w:ascii="Times New Roman;serif" w:hAnsi="Times New Roman;serif"/>
                  <w:b w:val="false"/>
                  <w:color w:val="0000FF"/>
                  <w:sz w:val="20"/>
                  <w:u w:val="single"/>
                </w:rPr>
                <w:t>52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and Disagreements with Accountants on Accounting and Financial Disclosure</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199">
              <w:r>
                <w:rPr>
                  <w:rStyle w:val="InternetLink"/>
                  <w:rFonts w:ascii="Times New Roman;serif" w:hAnsi="Times New Roman;serif"/>
                  <w:b w:val="false"/>
                  <w:color w:val="0000FF"/>
                  <w:sz w:val="20"/>
                  <w:u w:val="single"/>
                </w:rPr>
                <w:t>83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202">
              <w:r>
                <w:rPr>
                  <w:rStyle w:val="InternetLink"/>
                  <w:rFonts w:ascii="Times New Roman;serif" w:hAnsi="Times New Roman;serif"/>
                  <w:b w:val="false"/>
                  <w:color w:val="0000FF"/>
                  <w:sz w:val="20"/>
                  <w:u w:val="single"/>
                </w:rPr>
                <w:t>83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205">
              <w:r>
                <w:rPr>
                  <w:rStyle w:val="InternetLink"/>
                  <w:rFonts w:ascii="Times New Roman;serif" w:hAnsi="Times New Roman;serif"/>
                  <w:b w:val="false"/>
                  <w:color w:val="0000FF"/>
                  <w:sz w:val="20"/>
                  <w:u w:val="single"/>
                </w:rPr>
                <w:t>83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 Regarding Foreign Jurisdictions that Prevent Inspections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205">
              <w:r>
                <w:rPr>
                  <w:rStyle w:val="InternetLink"/>
                  <w:rFonts w:ascii="Times New Roman;serif" w:hAnsi="Times New Roman;serif"/>
                  <w:b w:val="false"/>
                  <w:color w:val="0000FF"/>
                  <w:sz w:val="20"/>
                  <w:u w:val="single"/>
                </w:rPr>
                <w:t>83</w:t>
              </w:r>
            </w:hyperlink>
          </w:p>
        </w:tc>
      </w:tr>
      <w:tr>
        <w:trPr/>
        <w:tc>
          <w:tcPr>
            <w:tcW w:w="963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Directors, Executive Officers and Corporate Governance</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214">
              <w:r>
                <w:rPr>
                  <w:rStyle w:val="InternetLink"/>
                  <w:rFonts w:ascii="Times New Roman;serif" w:hAnsi="Times New Roman;serif"/>
                  <w:b w:val="false"/>
                  <w:color w:val="0000FF"/>
                  <w:sz w:val="20"/>
                  <w:u w:val="single"/>
                </w:rPr>
                <w:t>84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Compensation</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217">
              <w:r>
                <w:rPr>
                  <w:rStyle w:val="InternetLink"/>
                  <w:rFonts w:ascii="Times New Roman;serif" w:hAnsi="Times New Roman;serif"/>
                  <w:b w:val="false"/>
                  <w:color w:val="0000FF"/>
                  <w:sz w:val="20"/>
                  <w:u w:val="single"/>
                </w:rPr>
                <w:t>84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Ownership of Certain Beneficial Owners and Management and Related Stockholder Matters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220">
              <w:r>
                <w:rPr>
                  <w:rStyle w:val="InternetLink"/>
                  <w:rFonts w:ascii="Times New Roman;serif" w:hAnsi="Times New Roman;serif"/>
                  <w:b w:val="false"/>
                  <w:color w:val="0000FF"/>
                  <w:sz w:val="20"/>
                  <w:u w:val="single"/>
                </w:rPr>
                <w:t>84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Relationships and Related Transactions and Director Independence</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223">
              <w:r>
                <w:rPr>
                  <w:rStyle w:val="InternetLink"/>
                  <w:rFonts w:ascii="Times New Roman;serif" w:hAnsi="Times New Roman;serif"/>
                  <w:b w:val="false"/>
                  <w:color w:val="0000FF"/>
                  <w:sz w:val="20"/>
                  <w:u w:val="single"/>
                </w:rPr>
                <w:t>84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Accountant Fees and Services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226">
              <w:r>
                <w:rPr>
                  <w:rStyle w:val="InternetLink"/>
                  <w:rFonts w:ascii="Times New Roman;serif" w:hAnsi="Times New Roman;serif"/>
                  <w:b w:val="false"/>
                  <w:color w:val="0000FF"/>
                  <w:sz w:val="20"/>
                  <w:u w:val="single"/>
                </w:rPr>
                <w:t>84</w:t>
              </w:r>
            </w:hyperlink>
          </w:p>
        </w:tc>
      </w:tr>
      <w:tr>
        <w:trPr/>
        <w:tc>
          <w:tcPr>
            <w:tcW w:w="963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and Financial Statement Schedules</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1922">
              <w:r>
                <w:rPr>
                  <w:rStyle w:val="InternetLink"/>
                  <w:rFonts w:ascii="Times New Roman;serif" w:hAnsi="Times New Roman;serif"/>
                  <w:b w:val="false"/>
                  <w:color w:val="0000FF"/>
                  <w:sz w:val="20"/>
                  <w:u w:val="single"/>
                </w:rPr>
                <w:t>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10-K Summary</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235">
              <w:r>
                <w:rPr>
                  <w:rStyle w:val="InternetLink"/>
                  <w:rFonts w:ascii="Times New Roman;serif" w:hAnsi="Times New Roman;serif"/>
                  <w:b w:val="false"/>
                  <w:color w:val="0000FF"/>
                  <w:sz w:val="20"/>
                  <w:u w:val="single"/>
                </w:rPr>
                <w:t>88</w:t>
              </w:r>
            </w:hyperlink>
          </w:p>
        </w:tc>
      </w:tr>
      <w:tr>
        <w:trPr/>
        <w:tc>
          <w:tcPr>
            <w:tcW w:w="96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434ecf797264d4bb379b2a399b74d2c_238">
              <w:r>
                <w:rPr>
                  <w:rStyle w:val="InternetLink"/>
                  <w:rFonts w:ascii="Times New Roman;serif" w:hAnsi="Times New Roman;serif"/>
                  <w:b/>
                  <w:strike w:val="false"/>
                  <w:dstrike w:val="false"/>
                  <w:color w:val="000000"/>
                  <w:sz w:val="20"/>
                  <w:u w:val="none"/>
                  <w:effect w:val="none"/>
                </w:rPr>
                <w:t>SIGNATURES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238">
              <w:r>
                <w:rPr>
                  <w:rStyle w:val="InternetLink"/>
                  <w:rFonts w:ascii="Times New Roman;serif" w:hAnsi="Times New Roman;serif"/>
                  <w:b w:val="false"/>
                  <w:color w:val="0000FF"/>
                  <w:sz w:val="20"/>
                  <w:u w:val="single"/>
                </w:rPr>
                <w:t>89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FTI CONSULTING,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This Annual Report on Form 10-K (the “Annual Report”) includes “forward-looking statements” within the meaning of Section 27A of the Securities Act of 1933, as amended (the “Securities Act”), and Section 21E of the Securities Exchange Act of 1934, as amended (the “Exchange Act”). All statements other than statements of historical fact, including among other things, statements about future events, anticipated growth, industry prospects, our future results of operations and financial position, business strategy and plans and objectives of management for future operations, are forward-looking statements. Forward-looking statements often contain words such as </w:t>
      </w:r>
      <w:r>
        <w:rPr>
          <w:color w:val="000000"/>
        </w:rPr>
        <w:t>“</w:t>
      </w:r>
      <w:r>
        <w:rPr>
          <w:rFonts w:ascii="Times New Roman;serif" w:hAnsi="Times New Roman;serif"/>
          <w:b w:val="false"/>
          <w:i/>
          <w:color w:val="000000"/>
          <w:sz w:val="20"/>
        </w:rPr>
        <w:t>may,” “might,” “will,” “should,” “could,” “would,”</w:t>
      </w:r>
      <w:r>
        <w:rPr>
          <w:color w:val="000000"/>
        </w:rPr>
        <w:t xml:space="preserve"> “</w:t>
      </w:r>
      <w:r>
        <w:rPr>
          <w:rFonts w:ascii="Times New Roman;serif" w:hAnsi="Times New Roman;serif"/>
          <w:b w:val="false"/>
          <w:i/>
          <w:color w:val="000000"/>
          <w:sz w:val="20"/>
        </w:rPr>
        <w:t>estimates,” “expects,” “anticipates,” “projects,” “plans,” “intends,” “believes,” “commits,” “aspires,” “forecasts,” “future,” “goal,” “seeks”</w:t>
      </w:r>
      <w:r>
        <w:rPr>
          <w:color w:val="000000"/>
        </w:rPr>
        <w:t xml:space="preserve"> </w:t>
      </w:r>
      <w:r>
        <w:rPr>
          <w:rFonts w:ascii="Times New Roman;serif" w:hAnsi="Times New Roman;serif"/>
          <w:b w:val="false"/>
          <w:color w:val="000000"/>
          <w:sz w:val="20"/>
        </w:rPr>
        <w:t xml:space="preserve">and variations of such words or similar expressions.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are a number of risks, uncertainties and other factors that could cause our actual results to differ materially from the forward-looking statements contained in, or implied by, this Annual Report. Although we believe that the expectations and assumptions reflected in these forward-looking statements are reasonable, we can provide no assurance that these expectations and assumptions will prove to be correct. These forward-looking statements relate to future events, results and outcomes, are inherently uncertain and involve known and unknown risks, uncertainties and other factors that may cause our actual results and outcomes, and the timing of our results and outcomes, to differ materially from those expressed or implied by these forward-looking statements.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or outcomes to differ materially from those contained in any forward-looking statements. Important factors that could cause our actual results or outcomes to differ materially from the forward-looking statements we make in this Annual Report include those set forth under the heading “Risk Factors” in Part I, Item 1A of this Annual Report, as well as in other information that we file with the Securities and Exchange Commission (the “SEC”) from time to time. All forward-looking statements are presented as of the date of this Annual Report and are expressly qualified in their entirety by the cautionary statements included herein. Except as required by law, we undertake no obligation to publicly update or revise any forward-looking statement for any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or required by the context, when we use the terms “Company,” “FTI Consulting,” “we,” “us” and “our,” we mean FTI Consulting, Inc., a Maryland corporation, and its consolidated subsidiaries.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is a leading global expert firm for organizations facing crisis and transformation. Individually, each of our segments and practices is staffed with experts recognized for the depth of their knowledge and a track record of making an impact.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report financial results for the following five reportable segments: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Corporate Finance;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Forensic and Litigation Consulting (“FLC”);</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Economic Consulting;</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Technology; and</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Strategic Communications.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renamed its Corporate Finance &amp; Restructuring segment to Corporate Finance to better align with the segment’s business activities, structure and strategy, as of December 31, 2025. The segment name change did not result in any change to the composition of the segment and has no impact on previously reported financial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work closely with our clients to help them anticipate and overcome complex business challenges and make the most of opportunities arising from factors such as the economy, financial and credit markets, governmental legislation and regulation, and litigation. We provide our clients with expert advice and solutions involving transactions, transformation,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turnaround &amp; restructuring, construction, projects, assets &amp; environmental solutions, data &amp; analytics, dispute advisory services, healthcare risk management &amp; advisory, risk &amp; investigations, antitrust &amp; competition economics, financial economics, international arbitration, blockchain &amp; digital assets, information governance, privacy &amp; security, investigations, litigation, M&amp;A, antitrust and competition, corporate reputation, financial communications and public affairs. Our experienced professionals are recognized leaders in their chosen field not only for their level of knowledge and understanding, but for their ability to structure practical, workable solutions to complex issues and real-world problems. Our clients include Fortune 500 corporations, FTSE 100 companies, major law firms, leading private equity firms, global banks and local, state and national governments and agencies around the globe. In addition, major United States (“U.S.”) and international law firms refer us or engage us directly or on behalf of their clients. We believe clients retain us because of our recognized expertise and capabilities in highly specialized areas, as well as our reputation for successfully meeting our clients’ needs.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operations span the globe encompassing locations within: (i) the Americas, including 37 U.S. offices located in 21 states and Washington, D.C., and four offices located in Canada; (ii) Latin America, including seven offices located in Argentina, Brazil, Colombia, Mexico, and the British Overseas Territories of the Cayman Islands and the Virgin Islands; (iii) Asia Pacific, including 19 offices located in Australia, China (including Hong Kong), India, Japan, Singapore and South Korea; and (iv) Europe, Middle East and Africa (“EMEA”), including 37 offices located in Belgium, Denmark, Finland, France, Germany, Ireland, Italy, Lebanon, Netherlands, Portugal, Qatar, Saudi Arabia, South Africa, Spain, Sweden, Switzerland, United Arab Emirates and the United Kingdom (“UK”). In certain jurisdictions, our segments and practices are operated through one or more direct or indirect subsidiaries.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derive the majority of our revenues from providing professional services to clients in the U.S. For the year ended December 31, 2025, we derived approximately 63% of our revenues from the work of professionals assigned to locations in the U.S. and 37% from the work of professionals assigned to international locations. Seasonal factors, such as the timing of our employees’ and clients’ vacations and holidays, may impact the timing of our revenues across our segments.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Summary Financial and Other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percentage of consolidated revenues for the last two years contributed by each of our five reportable segments.</w:t>
      </w:r>
    </w:p>
    <w:tbl>
      <w:tblPr>
        <w:tblW w:w="5204" w:type="dxa"/>
        <w:jc w:val="left"/>
        <w:tblInd w:w="0" w:type="dxa"/>
        <w:tblLayout w:type="fixed"/>
        <w:tblCellMar>
          <w:top w:w="28" w:type="dxa"/>
          <w:left w:w="28" w:type="dxa"/>
          <w:bottom w:w="28" w:type="dxa"/>
          <w:right w:w="28" w:type="dxa"/>
        </w:tblCellMar>
      </w:tblPr>
      <w:tblGrid>
        <w:gridCol w:w="1080"/>
        <w:gridCol w:w="949"/>
        <w:gridCol w:w="955"/>
        <w:gridCol w:w="218"/>
        <w:gridCol w:w="203"/>
        <w:gridCol w:w="409"/>
        <w:gridCol w:w="164"/>
        <w:gridCol w:w="164"/>
        <w:gridCol w:w="164"/>
        <w:gridCol w:w="218"/>
        <w:gridCol w:w="203"/>
        <w:gridCol w:w="477"/>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Forensic and Litigation Consulting</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Communications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number of offices and countries in which each segment operates, as well as the number of billable professionals in each of our reportable segments.</w:t>
      </w:r>
    </w:p>
    <w:tbl>
      <w:tblPr>
        <w:tblW w:w="8657" w:type="dxa"/>
        <w:jc w:val="left"/>
        <w:tblInd w:w="0" w:type="dxa"/>
        <w:tblLayout w:type="fixed"/>
        <w:tblCellMar>
          <w:top w:w="28" w:type="dxa"/>
          <w:left w:w="28" w:type="dxa"/>
          <w:bottom w:w="28" w:type="dxa"/>
          <w:right w:w="28" w:type="dxa"/>
        </w:tblCellMar>
      </w:tblPr>
      <w:tblGrid>
        <w:gridCol w:w="1080"/>
        <w:gridCol w:w="949"/>
        <w:gridCol w:w="955"/>
        <w:gridCol w:w="205"/>
        <w:gridCol w:w="205"/>
        <w:gridCol w:w="206"/>
        <w:gridCol w:w="120"/>
        <w:gridCol w:w="120"/>
        <w:gridCol w:w="120"/>
        <w:gridCol w:w="318"/>
        <w:gridCol w:w="318"/>
        <w:gridCol w:w="338"/>
        <w:gridCol w:w="109"/>
        <w:gridCol w:w="109"/>
        <w:gridCol w:w="109"/>
        <w:gridCol w:w="493"/>
        <w:gridCol w:w="493"/>
        <w:gridCol w:w="499"/>
        <w:gridCol w:w="127"/>
        <w:gridCol w:w="127"/>
        <w:gridCol w:w="127"/>
        <w:gridCol w:w="445"/>
        <w:gridCol w:w="445"/>
        <w:gridCol w:w="640"/>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December 31,</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Offices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Countries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Billable Headcount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Billable Headcount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Forensic and Litigation Consulting</w:t>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Communications</w:t>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color w:val="000000"/>
        </w:rPr>
        <w:t>“</w:t>
      </w:r>
      <w:r>
        <w:rPr>
          <w:rFonts w:ascii="Times New Roman;serif" w:hAnsi="Times New Roman;serif"/>
          <w:b w:val="false"/>
          <w:color w:val="000000"/>
          <w:sz w:val="20"/>
        </w:rPr>
        <w:t>Countries” include the British Overseas Territories of the Cayman Islands and Virgin Islands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Reportable Segments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organized into five reportable segments, each of which seeks to be a global leader in its own right by serving as a trusted advisor when our clients are presented with challenging issues and the risks are high.</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Corporate Finance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Corporate Finance segment focuses on the strategic, operational, financial, transactional and capital needs of our clients around the world. Our clients include companies, boards of directors, investors, private equity sponsors, lenders, and other financing sources and creditor groups, governments and other interested parties. We deliver a wide range of services centered around three core offerings: Transactions, Transformation and Turnaround &amp; Restructuring.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2025, our Corporate Finance segment offered the following services:</w:t>
      </w:r>
    </w:p>
    <w:p>
      <w:pPr>
        <w:pStyle w:val="TextBody"/>
        <w:bidi w:val="0"/>
        <w:spacing w:lineRule="auto" w:line="288" w:before="0" w:after="180"/>
        <w:jc w:val="left"/>
        <w:rPr/>
      </w:pPr>
      <w:r>
        <w:rPr>
          <w:rFonts w:ascii="Times New Roman;serif" w:hAnsi="Times New Roman;serif"/>
          <w:b/>
          <w:color w:val="000000"/>
          <w:sz w:val="20"/>
        </w:rPr>
        <w:t>Transactions.</w:t>
      </w:r>
      <w:r>
        <w:rPr>
          <w:color w:val="000000"/>
        </w:rPr>
        <w:t xml:space="preserve"> </w:t>
      </w:r>
      <w:r>
        <w:rPr>
          <w:rFonts w:ascii="Times New Roman;serif" w:hAnsi="Times New Roman;serif"/>
          <w:b w:val="false"/>
          <w:color w:val="000000"/>
          <w:sz w:val="20"/>
        </w:rPr>
        <w:t xml:space="preserve">We provide services that help clients strategize, structure, diligence, integrate, carve-out, value and communicate around business transactions, including the following offerings: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Diligence (Financial, Tax, HR, IT, Synergy and Regulatory)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Investment Banking</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Merger Integration &amp; Carve-Out</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Valuation &amp; Financial Advisory Services</w:t>
      </w:r>
    </w:p>
    <w:p>
      <w:pPr>
        <w:pStyle w:val="TextBody"/>
        <w:bidi w:val="0"/>
        <w:spacing w:lineRule="auto" w:line="288" w:before="0" w:after="180"/>
        <w:jc w:val="left"/>
        <w:rPr/>
      </w:pPr>
      <w:r>
        <w:rPr>
          <w:rFonts w:ascii="Times New Roman;serif" w:hAnsi="Times New Roman;serif"/>
          <w:b/>
          <w:color w:val="000000"/>
          <w:sz w:val="20"/>
        </w:rPr>
        <w:t>Transformation.</w:t>
      </w:r>
      <w:r>
        <w:rPr>
          <w:color w:val="000000"/>
        </w:rPr>
        <w:t xml:space="preserve"> </w:t>
      </w:r>
      <w:r>
        <w:rPr>
          <w:rFonts w:ascii="Times New Roman;serif" w:hAnsi="Times New Roman;serif"/>
          <w:b w:val="false"/>
          <w:color w:val="000000"/>
          <w:sz w:val="20"/>
        </w:rPr>
        <w:t xml:space="preserve">We provide independent transformation expertise to deliver end-to-end value from strategy to execution, and drive change across the enterprise, enhance performance, build sustainable growth and foster a culture of excellence, including the following offerings: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Cost Transformation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Data &amp; Technology Transformation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HR Transformation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Office of the Chief Financial Officer Solutions &amp; Finance Transformation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Operations &amp; Supply Chain Transformation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Revenue Transformation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Strategy</w:t>
      </w:r>
    </w:p>
    <w:p>
      <w:pPr>
        <w:pStyle w:val="TextBody"/>
        <w:bidi w:val="0"/>
        <w:spacing w:lineRule="auto" w:line="288" w:before="0" w:after="180"/>
        <w:jc w:val="left"/>
        <w:rPr/>
      </w:pPr>
      <w:r>
        <w:rPr>
          <w:rFonts w:ascii="Times New Roman;serif" w:hAnsi="Times New Roman;serif"/>
          <w:b/>
          <w:color w:val="000000"/>
          <w:sz w:val="20"/>
        </w:rPr>
        <w:t xml:space="preserve">Turnaround &amp; Restructuring. </w:t>
      </w:r>
      <w:r>
        <w:rPr>
          <w:rFonts w:ascii="Times New Roman;serif" w:hAnsi="Times New Roman;serif"/>
          <w:b w:val="false"/>
          <w:color w:val="000000"/>
          <w:sz w:val="20"/>
        </w:rPr>
        <w:t>We provide advisory services to help our clients stabilize finances and operations to reassure debtors, creditors and other stakeholders that proactive steps are being taken to preserve and enhance value, including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Company Advisory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Creditor Advisory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Dispute Advisory &amp; Litigation Support</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Insolvency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Interim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Forensic and Litigation Consulting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FLC segment provides law firms, companies, boards of directors, government entities, private equity firms and other interested parties with a multidisciplinary and independent range of services across risk &amp; investigations and disputes, supported by our data &amp; analytics technology-enabled solutions, with a focus on highly regulated industries. Our services are centered around five core offerings: Construction, Projects &amp; Assets and Environmental Solutions, Data &amp; Analytics, Dispute Advisory Services, Healthcare Risk Management &amp; Advisory and Risk &amp; Investigations, which includes our cybersecurity and financial services-related offerings.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2025, our FLC segment offered the following services: </w:t>
      </w:r>
    </w:p>
    <w:p>
      <w:pPr>
        <w:pStyle w:val="TextBody"/>
        <w:bidi w:val="0"/>
        <w:spacing w:lineRule="auto" w:line="288" w:before="0" w:after="180"/>
        <w:jc w:val="left"/>
        <w:rPr/>
      </w:pPr>
      <w:r>
        <w:rPr>
          <w:rFonts w:ascii="Times New Roman;serif" w:hAnsi="Times New Roman;serif"/>
          <w:b/>
          <w:color w:val="000000"/>
          <w:sz w:val="20"/>
        </w:rPr>
        <w:t>Construction, Projects &amp; Assets and Environmental Solutions (“Construction Solutions”).</w:t>
      </w:r>
      <w:r>
        <w:rPr>
          <w:color w:val="000000"/>
        </w:rPr>
        <w:t xml:space="preserve"> </w:t>
      </w:r>
      <w:r>
        <w:rPr>
          <w:rFonts w:ascii="Times New Roman;serif" w:hAnsi="Times New Roman;serif"/>
          <w:b w:val="false"/>
          <w:color w:val="000000"/>
          <w:sz w:val="20"/>
        </w:rPr>
        <w:t>We provide dispute resolution, advisory and transformation services that address the strategic, financial, operational, regulatory and capital needs of complex construction and environmental projects, programs, liabilities and physical asset management for organizations across multiple industries, and help organizations address environmental programmatic challenges and liability-related issues. Our key services include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Environmental Cost &amp; Damages Analyses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Expert Services in Delay, Disruption, Quantum &amp; Damages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Project Delivery and Asset Management Advisory &amp; Transformation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Technology Enablement, Data Intelligence &amp; Construction Analytics</w:t>
      </w:r>
    </w:p>
    <w:p>
      <w:pPr>
        <w:pStyle w:val="TextBody"/>
        <w:bidi w:val="0"/>
        <w:spacing w:lineRule="auto" w:line="288" w:before="0" w:after="180"/>
        <w:jc w:val="left"/>
        <w:rPr/>
      </w:pPr>
      <w:r>
        <w:rPr>
          <w:rFonts w:ascii="Times New Roman;serif" w:hAnsi="Times New Roman;serif"/>
          <w:b/>
          <w:color w:val="000000"/>
          <w:sz w:val="20"/>
        </w:rPr>
        <w:t>Data &amp; Analytics.</w:t>
      </w:r>
      <w:r>
        <w:rPr>
          <w:color w:val="000000"/>
        </w:rPr>
        <w:t xml:space="preserve"> </w:t>
      </w:r>
      <w:r>
        <w:rPr>
          <w:rFonts w:ascii="Times New Roman;serif" w:hAnsi="Times New Roman;serif"/>
          <w:b w:val="false"/>
          <w:color w:val="000000"/>
          <w:sz w:val="20"/>
        </w:rPr>
        <w:t>We provide in-depth analysis of large, disparate sets of financial, operational and transactional data, often when our clients are faced with a regulatory inquiry, investigation or a dispute. We provide strategic business solutions, including custom application and software development, to solve critical client needs. Our professionals, who include computer scientists, Ph.D. data scientists, mathematicians, business and finance experts, work together with industry, regulatory, legal and other experts. Our key services include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Data Strategy, Governance and Reconciliation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Data Visualization, Process Improvement and Business Intelligence Solutions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Machine Learning and Other Artificial Intelligence (“AI”) Solutions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Remediation and Settlement Administration</w:t>
      </w:r>
    </w:p>
    <w:p>
      <w:pPr>
        <w:pStyle w:val="TextBody"/>
        <w:bidi w:val="0"/>
        <w:spacing w:lineRule="auto" w:line="288" w:before="0" w:after="180"/>
        <w:jc w:val="left"/>
        <w:rPr/>
      </w:pPr>
      <w:r>
        <w:rPr>
          <w:rFonts w:ascii="Times New Roman;serif" w:hAnsi="Times New Roman;serif"/>
          <w:b/>
          <w:color w:val="000000"/>
          <w:sz w:val="20"/>
        </w:rPr>
        <w:t>Dispute Advisory Services.</w:t>
      </w:r>
      <w:r>
        <w:rPr>
          <w:color w:val="000000"/>
        </w:rPr>
        <w:t xml:space="preserve"> </w:t>
      </w:r>
      <w:r>
        <w:rPr>
          <w:rFonts w:ascii="Times New Roman;serif" w:hAnsi="Times New Roman;serif"/>
          <w:b w:val="false"/>
          <w:color w:val="000000"/>
          <w:sz w:val="20"/>
        </w:rPr>
        <w:t>We provide courts and tribunals, parties to disputes and their legal counsel clear, reliable and objective advice on matters within our expertise, from discovery and investigation to privileged consulting and expert witness testimony. In addition, we provide graphic demonstratives and associated technology offerings for presentation in evidentiary hearings. We support our global clients with disputes of all kinds, including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Claims in International Public Law</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Complex Commercial and Regulatory Disputes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Energy-related Disputes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Environmental Dispute Resolution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Financial Products and Broker-dealer Disputes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Insurance-related Disputes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Intellectual Property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Labor and Employment</w:t>
      </w:r>
    </w:p>
    <w:p>
      <w:pPr>
        <w:pStyle w:val="TextBody"/>
        <w:bidi w:val="0"/>
        <w:spacing w:lineRule="auto" w:line="288" w:before="0" w:after="180"/>
        <w:jc w:val="left"/>
        <w:rPr/>
      </w:pPr>
      <w:r>
        <w:rPr>
          <w:rFonts w:ascii="Times New Roman;serif" w:hAnsi="Times New Roman;serif"/>
          <w:b/>
          <w:color w:val="000000"/>
          <w:sz w:val="20"/>
        </w:rPr>
        <w:t xml:space="preserve">Healthcare Risk Management &amp; Advisory. </w:t>
      </w:r>
      <w:r>
        <w:rPr>
          <w:rFonts w:ascii="Times New Roman;serif" w:hAnsi="Times New Roman;serif"/>
          <w:b w:val="false"/>
          <w:color w:val="000000"/>
          <w:sz w:val="20"/>
        </w:rPr>
        <w:t xml:space="preserve">We work with healthcare providers, healthcare payers, life sciences companies and law firms to discern solutions that address business risks and advise and prepare our clients for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short-term and future strategic, operational, data and technological, financial and legal challenges. Our key services include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Disputes and Investigations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Financial Advisory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Managed Care &amp; Value-based Care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Risk, Regulatory and Quality</w:t>
      </w:r>
    </w:p>
    <w:p>
      <w:pPr>
        <w:pStyle w:val="TextBody"/>
        <w:bidi w:val="0"/>
        <w:spacing w:lineRule="auto" w:line="288" w:before="0" w:after="180"/>
        <w:jc w:val="left"/>
        <w:rPr/>
      </w:pPr>
      <w:r>
        <w:rPr>
          <w:rFonts w:ascii="Times New Roman;serif" w:hAnsi="Times New Roman;serif"/>
          <w:b/>
          <w:color w:val="000000"/>
          <w:sz w:val="20"/>
        </w:rPr>
        <w:t>Risk &amp; Investigations.</w:t>
      </w:r>
      <w:r>
        <w:rPr>
          <w:color w:val="000000"/>
        </w:rPr>
        <w:t xml:space="preserve"> </w:t>
      </w:r>
      <w:r>
        <w:rPr>
          <w:rFonts w:ascii="Times New Roman;serif" w:hAnsi="Times New Roman;serif"/>
          <w:b w:val="false"/>
          <w:color w:val="000000"/>
          <w:sz w:val="20"/>
        </w:rPr>
        <w:t>We provide compliance, risk assessment, investigative, litigation consulting and remediation expertise on a wide range of investigations to boards of directors, executive management, in-house counsel and their outside legal advisors at law firms. Our experts conduct investigations over a wide scope of issues and allegations, including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Accounting Advisory &amp; Restatements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Anti-bribery &amp; Corruption Investigations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Anti-money Laundering Investigations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Cybersecurity Investigations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Export Controls, Sanctions &amp; Trade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Financial Regulatory Investigations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Forensic Accounting &amp; Fraud Investigations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Geopolitical and Related Security Risk</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Monitorships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Economic Consulting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Economic Consulting segment, including subsidiary Compass Lexecon LLC (“Compass Lexecon”),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2025, our Economic Consulting segment offered the following services:</w:t>
      </w:r>
    </w:p>
    <w:p>
      <w:pPr>
        <w:pStyle w:val="TextBody"/>
        <w:bidi w:val="0"/>
        <w:spacing w:lineRule="auto" w:line="288" w:before="0" w:after="180"/>
        <w:jc w:val="left"/>
        <w:rPr/>
      </w:pPr>
      <w:r>
        <w:rPr>
          <w:rFonts w:ascii="Times New Roman;serif" w:hAnsi="Times New Roman;serif"/>
          <w:b/>
          <w:color w:val="000000"/>
          <w:sz w:val="20"/>
        </w:rPr>
        <w:t xml:space="preserve">Antitrust &amp; Competition Economics. </w:t>
      </w:r>
      <w:r>
        <w:rPr>
          <w:rFonts w:ascii="Times New Roman;serif" w:hAnsi="Times New Roman;serif"/>
          <w:b w:val="false"/>
          <w:color w:val="000000"/>
          <w:sz w:val="20"/>
        </w:rPr>
        <w:t>We perform sophisticated economic analyses and provide expert testimony on international and regulatory antitrust and competition proceedings, practices and litigation, including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M&amp;A-related Antitrust</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Non-M&amp;A-related Antitrust</w:t>
      </w:r>
    </w:p>
    <w:p>
      <w:pPr>
        <w:pStyle w:val="TextBody"/>
        <w:bidi w:val="0"/>
        <w:spacing w:lineRule="auto" w:line="288" w:before="0" w:after="180"/>
        <w:jc w:val="left"/>
        <w:rPr/>
      </w:pPr>
      <w:r>
        <w:rPr>
          <w:rFonts w:ascii="Times New Roman;serif" w:hAnsi="Times New Roman;serif"/>
          <w:b/>
          <w:color w:val="000000"/>
          <w:sz w:val="20"/>
        </w:rPr>
        <w:t xml:space="preserve">Financial Economics. </w:t>
      </w:r>
      <w:r>
        <w:rPr>
          <w:rFonts w:ascii="Times New Roman;serif" w:hAnsi="Times New Roman;serif"/>
          <w:b w:val="false"/>
          <w:color w:val="000000"/>
          <w:sz w:val="20"/>
        </w:rPr>
        <w:t>We perform sophisticated economic analysis and modeling of issues and provide expert testimony relating to transactions, commercial disputes, regulatory proceedings and a wide range of securities litigation to regulated and unregulated industries and government regulators, including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Contractual Claims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Rate Setting</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Securities Litigation &amp; Risk Management</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Transfer Pricing</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Valuation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International Arbitration.</w:t>
      </w:r>
      <w:r>
        <w:rPr>
          <w:color w:val="000000"/>
        </w:rPr>
        <w:t xml:space="preserve"> </w:t>
      </w:r>
      <w:r>
        <w:rPr>
          <w:rFonts w:ascii="Times New Roman;serif" w:hAnsi="Times New Roman;serif"/>
          <w:b w:val="false"/>
          <w:color w:val="000000"/>
          <w:sz w:val="20"/>
        </w:rPr>
        <w:t>We work with companies, governments and members of the international bar to provide independent advice and expert testimony relating to business valuations and economic damages in a wide variety of commercial and treaty disputes before international arbitration tribunals, including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Business Valuations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Commercial and Treaty Disputes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Economic Damages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Litigation Support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Technology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Technology segment provides companies, law firms, private equity firms and government entities with a comprehensive global portfolio of digital insights and risk management, AI and data services. Our professionals help organizations better address risk as the growing volume and variety of enterprise and emerging data intersects with legal, regulatory and compliance needs. We deliver a wide range of expert and AI-powered solutions driven by five core client needs: Blockchain &amp; Digital Assets, Information Governance, Privacy &amp; Security, Investigations, Litigation, and M&amp;A, Antitrust and Competition.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expert team, comprising data scientists, technologists and lawyers, delivers defensible and proven solutions and is sought out for large-scale, novel and complex matters involving the intersection of AI with the legal landscape, including intellectual property and copyright infringement. Our IQ.AI solutions provide clients with access to advanced tools tailored to solve specific client centric needs such as for legal review (IQ.AI for Review), investigations (IQ.AI for Investigations), data breach (IQ.AI for Data Breach), antitrust (IQ.AI for Antitrust), disputes (IQ.AI for Litigation) and contracts (IQ.AI for Contracts).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2025, our Technology segment offered the following solutions:</w:t>
      </w:r>
    </w:p>
    <w:p>
      <w:pPr>
        <w:pStyle w:val="TextBody"/>
        <w:bidi w:val="0"/>
        <w:spacing w:lineRule="auto" w:line="288" w:before="0" w:after="180"/>
        <w:jc w:val="left"/>
        <w:rPr/>
      </w:pPr>
      <w:r>
        <w:rPr>
          <w:rFonts w:ascii="Times New Roman;serif" w:hAnsi="Times New Roman;serif"/>
          <w:b/>
          <w:color w:val="000000"/>
          <w:sz w:val="20"/>
        </w:rPr>
        <w:t xml:space="preserve">Blockchain &amp; Digital Assets. </w:t>
      </w:r>
      <w:r>
        <w:rPr>
          <w:rFonts w:ascii="Times New Roman;serif" w:hAnsi="Times New Roman;serif"/>
          <w:b w:val="false"/>
          <w:color w:val="000000"/>
          <w:sz w:val="20"/>
        </w:rPr>
        <w:t>We provide solutions that help companies innovate using blockchain technology and digital assets, while mitigating risks and meeting compliance obligations, including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Blockchain Managed Services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Cryptocurrency and Digital Asset Regulatory Compliance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Cryptocurrency Disputes and Investigations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Decentralized Due Diligence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Digital Asset Expert Services and Investigations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Enterprise Blockchain Innovation</w:t>
      </w:r>
    </w:p>
    <w:p>
      <w:pPr>
        <w:pStyle w:val="TextBody"/>
        <w:bidi w:val="0"/>
        <w:spacing w:lineRule="auto" w:line="288" w:before="0" w:after="180"/>
        <w:jc w:val="left"/>
        <w:rPr/>
      </w:pPr>
      <w:r>
        <w:rPr>
          <w:rFonts w:ascii="Times New Roman;serif" w:hAnsi="Times New Roman;serif"/>
          <w:b/>
          <w:color w:val="000000"/>
          <w:sz w:val="20"/>
        </w:rPr>
        <w:t>Information Governance, Privacy &amp; Security.</w:t>
      </w:r>
      <w:r>
        <w:rPr>
          <w:color w:val="000000"/>
        </w:rPr>
        <w:t xml:space="preserve"> </w:t>
      </w:r>
      <w:r>
        <w:rPr>
          <w:rFonts w:ascii="Times New Roman;serif" w:hAnsi="Times New Roman;serif"/>
          <w:b w:val="false"/>
          <w:color w:val="000000"/>
          <w:sz w:val="20"/>
        </w:rPr>
        <w:t>We help clients manage emerging data, navigate evolving regulatory and privacy obligations, prepare for and respond to external threats, decrease storage costs, remediate and secure corporate data, enable faster and deeper insight into data, and provide expert testimony to defend corporate data management processes, including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Advisory on Governance, Policy, Standards &amp; Execution, including for AI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Compliance and Risk Technology, including Governance, Risk and Compliance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Data Privacy Program Development, Implementation &amp; Data Subject Access Requests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Data Migration, Remediation, Disposition and Protection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Legal Department Operations and Technology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Microsoft 365 and Copilot Readiness, Governance, Data Protection and Risk Management</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Pixel, Ad Tracker and AdTech Advisory &amp; Services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Post-data Breach Privacy Analysis &amp; Response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 xml:space="preserve">Investigations. </w:t>
      </w:r>
      <w:r>
        <w:rPr>
          <w:rFonts w:ascii="Times New Roman;serif" w:hAnsi="Times New Roman;serif"/>
          <w:b w:val="false"/>
          <w:color w:val="000000"/>
          <w:sz w:val="20"/>
        </w:rPr>
        <w:t>We assist organizations in a range of high-stakes investigations, including fraud, bribery, IP theft, antitrust violations, workplace misconduct and white-collar crime. These matters often extend across international borders and require unique processes and expertise for uncovering evidence. Offerings include: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Digital Forensics &amp; Collection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E-Discovery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Emerging Data Solutions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Expert Witness Testimony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Find Facts Fast Solutions</w:t>
      </w:r>
    </w:p>
    <w:p>
      <w:pPr>
        <w:pStyle w:val="TextBody"/>
        <w:bidi w:val="0"/>
        <w:spacing w:lineRule="auto" w:line="288" w:before="0" w:after="180"/>
        <w:jc w:val="left"/>
        <w:rPr/>
      </w:pPr>
      <w:r>
        <w:rPr>
          <w:rFonts w:ascii="Times New Roman;serif" w:hAnsi="Times New Roman;serif"/>
          <w:b/>
          <w:color w:val="000000"/>
          <w:sz w:val="20"/>
        </w:rPr>
        <w:t xml:space="preserve">Litigation. </w:t>
      </w:r>
      <w:r>
        <w:rPr>
          <w:rFonts w:ascii="Times New Roman;serif" w:hAnsi="Times New Roman;serif"/>
          <w:b w:val="false"/>
          <w:color w:val="000000"/>
          <w:sz w:val="20"/>
        </w:rPr>
        <w:t>We provide technology-forward solutions that help in-house legal departments and their law firms respond to rising litigation and disputes challenges, including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End-to-end E-discovery Software and Solutions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Legal Hold &amp; Preservation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Managed Review</w:t>
      </w:r>
    </w:p>
    <w:p>
      <w:pPr>
        <w:pStyle w:val="TextBody"/>
        <w:bidi w:val="0"/>
        <w:spacing w:lineRule="auto" w:line="288" w:before="0" w:after="180"/>
        <w:jc w:val="left"/>
        <w:rPr/>
      </w:pPr>
      <w:r>
        <w:rPr>
          <w:rFonts w:ascii="Times New Roman;serif" w:hAnsi="Times New Roman;serif"/>
          <w:b/>
          <w:color w:val="000000"/>
          <w:sz w:val="20"/>
        </w:rPr>
        <w:t xml:space="preserve">M&amp;A, Antitrust and Competition. </w:t>
      </w:r>
      <w:r>
        <w:rPr>
          <w:rFonts w:ascii="Times New Roman;serif" w:hAnsi="Times New Roman;serif"/>
          <w:b w:val="false"/>
          <w:color w:val="000000"/>
          <w:sz w:val="20"/>
        </w:rPr>
        <w:t>We combine our full portfolio of investigative, discovery and data capabilities with our global regulatory expertise to help companies and their law firms manage the data and legal requirements of M&amp;A, antitrust and competition matters. This includes: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Contracts for Pre- and Post-M&amp;A Analysis and Repapering</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Dawn Raids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Phase II Merger Investigations (EMEA)</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Pre- and Post-M&amp;A Data Separation and Remediation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Second Request” Investigations under the Hart-Scott-Rodino Antitrust Improvements Act of 1976 (U.S.)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Secondary Information Request” Investigations (Canada)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Strategic Communications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Strategic Communications segment develops and executes communications strategies to help management teams, boards of directors, law firms, governments and regulators manage change and mitigate risk surrounding transformational and disruptive events, including crises, transactions, investigations, disputes, regulation and legislation. We deliver a wide range of services centered around three core offerings: Corporate Reputation, Financial Communications and Public Affairs.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2025, our Strategic Communications segment offered the following services: </w:t>
      </w:r>
    </w:p>
    <w:p>
      <w:pPr>
        <w:pStyle w:val="TextBody"/>
        <w:bidi w:val="0"/>
        <w:spacing w:lineRule="auto" w:line="288" w:before="0" w:after="180"/>
        <w:jc w:val="left"/>
        <w:rPr/>
      </w:pPr>
      <w:r>
        <w:rPr>
          <w:rFonts w:ascii="Times New Roman;serif" w:hAnsi="Times New Roman;serif"/>
          <w:b/>
          <w:color w:val="000000"/>
          <w:sz w:val="20"/>
        </w:rPr>
        <w:t xml:space="preserve">Corporate Reputation. </w:t>
      </w:r>
      <w:r>
        <w:rPr>
          <w:rFonts w:ascii="Times New Roman;serif" w:hAnsi="Times New Roman;serif"/>
          <w:b w:val="false"/>
          <w:color w:val="000000"/>
          <w:sz w:val="20"/>
        </w:rPr>
        <w:t xml:space="preserve">We design and provide communications to protect and enhance business reputations, build organizations’ public profiles and support their business outcomes, including the following offerings: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Crisis and Issues Management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Cybersecurity and Data Privacy Communications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Digital, Analytics and Insights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Litigation Communications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People &amp; Transformation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 xml:space="preserve">Financial Communications. </w:t>
      </w:r>
      <w:r>
        <w:rPr>
          <w:rFonts w:ascii="Times New Roman;serif" w:hAnsi="Times New Roman;serif"/>
          <w:b w:val="false"/>
          <w:color w:val="000000"/>
          <w:sz w:val="20"/>
        </w:rPr>
        <w:t>We design and provide communications strategies to help business leaders deliver consistent and credible narratives to raise capital, engage with investors and navigate transitional business events, including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Corporate Governance &amp; Shareholder Activism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Environmental, Social and Governance &amp; Sustainability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M&amp;A Communications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Restructuring and Financial Issues</w:t>
      </w:r>
    </w:p>
    <w:p>
      <w:pPr>
        <w:pStyle w:val="TextBody"/>
        <w:bidi w:val="0"/>
        <w:spacing w:lineRule="auto" w:line="288" w:before="0" w:after="180"/>
        <w:jc w:val="left"/>
        <w:rPr/>
      </w:pPr>
      <w:r>
        <w:rPr>
          <w:rFonts w:ascii="Times New Roman;serif" w:hAnsi="Times New Roman;serif"/>
          <w:b/>
          <w:color w:val="000000"/>
          <w:sz w:val="20"/>
        </w:rPr>
        <w:t xml:space="preserve">Public Affairs. </w:t>
      </w:r>
      <w:r>
        <w:rPr>
          <w:rFonts w:ascii="Times New Roman;serif" w:hAnsi="Times New Roman;serif"/>
          <w:b w:val="false"/>
          <w:color w:val="000000"/>
          <w:sz w:val="20"/>
        </w:rPr>
        <w:t>We combine public policy, capital markets and sector-specific expertise to offer unique insights for clients operating at the critical intersection between business and government, including the following offerings: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Government Investigations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Government Relations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Public Affairs Research &amp; Opinion Polling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Public Affairs Strategy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Public Policy Advocacy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Industry Specializations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employ experts across our segments and practices who are qualified to provide our core services plus a range of specialized consulting services and solutions that address the strategic, reputational, operational, financial, regulatory, legal and other needs of specific industries. The major industry groups that we service include: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Aerospace &amp; Defense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Airlines &amp; Aviation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Automotive &amp; Industrials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Blockchain &amp; Digital Assets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Chemicals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Construction &amp; Environmental</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Energy, Power &amp; Products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Financial Services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Food &amp; Agribusiness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Healthcare &amp; Life Sciences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Hospitality, Gaming &amp; Leisure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Insurance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Mining</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Public Sector &amp; Government Contracts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Real Estate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Retail &amp; Consumer Products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Telecom, Media &amp; Technology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Transportation &amp; Logistics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 Drivers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Material factors that drive demand for our business offerings include:</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 xml:space="preserve">AI and Emerging Technologies. </w:t>
      </w:r>
      <w:r>
        <w:rPr>
          <w:rFonts w:ascii="Times New Roman;serif" w:hAnsi="Times New Roman;serif"/>
          <w:b w:val="false"/>
          <w:color w:val="000000"/>
          <w:sz w:val="20"/>
        </w:rPr>
        <w:t xml:space="preserve">We have been leveraging AI to develop solutions for our clients for over a decade, building a leading position in the legal market. We continue to invest in machine learning and AI-related platforms to support our internal infrastructure. We help our clients adapt to the changing technological, regulatory and ethical landscape and actively partner with them to integrate these new technologies into their organizations, including embedding these technologies into our transformation and dispute advisory services offerings, among others. Our AI experts craft tailored AI strategies that align with our clients’ business objectives, leveraging AI and other technologies in their organizations to respond to the market, unlock growth opportunities and manage risk. We continue to invest in our open-source approach while making judicious investments in new and emerging technologies, adapting and refining our strategy by embracing new ways of working to develop services, identify commercial opportunities, improve our performance, increase internal efficiencies and otherwise add value for our clients. We have seen, and continue to believe, that the demand for AI and other technology-enabled consulting services will continue to grow as these capabilities advance in sophistication. </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Cybersecurity Risk.</w:t>
      </w:r>
      <w:r>
        <w:rPr>
          <w:color w:val="000000"/>
        </w:rPr>
        <w:t xml:space="preserve"> </w:t>
      </w:r>
      <w:r>
        <w:rPr>
          <w:rFonts w:ascii="Times New Roman;serif" w:hAnsi="Times New Roman;serif"/>
          <w:b w:val="false"/>
          <w:color w:val="000000"/>
          <w:sz w:val="20"/>
        </w:rPr>
        <w:t xml:space="preserve">The evolving cybersecurity risk landscape, characterized by increasingly sophisticated threats and rising incidents of data breaches, drives demand for cybersecurity preparedness, post-breach investigations, crisis communications and related services, particularly in our FLC, Technology and Strategic Communications segments. Our global team of cybersecurity experts, incident response experts, developers and data scientists provides cyber incident response solutions across the event lifecycle, including preparedness and response planning, analysis, identification, containment, eradication, mitigation and system refinements. Additionally, we provide strategic communications services such as crisis management, corporate reputation and public affairs support for our clients during high-stakes cybersecurity breaches, as they work to manage stakeholder communications with investors, clients, employees, business partners and regulators, among other key stakeholders. </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Developing Markets</w:t>
      </w:r>
      <w:r>
        <w:rPr>
          <w:rFonts w:ascii="Times New Roman;serif" w:hAnsi="Times New Roman;serif"/>
          <w:b w:val="false"/>
          <w:color w:val="000000"/>
          <w:sz w:val="20"/>
        </w:rPr>
        <w:t>. The growth and continuation of multinational companies and global consolidation can precipitate antitrust and competition scrutiny and the international spread of issues and practices that historically have been more common in the U.S., such as increased and complex litigation, corporate restructuring and bankruptcy activities, and antitrust and competition scrutiny. Additionally, shifts in trade and tariff policies can create significant challenges for companies operating in developed and emerging markets, often impacting supply chains, market access and cost structures. Companies in the developing world and multinational companies can benefit from our expert advice to access capital and business markets, comply with the regulatory, trade and other requirements of multiple countries, structure transactions and conduct due diligence, which drives demand for services across all of our segments.</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 xml:space="preserve">Emerging Data, Including Cloud-Based Collaboration and Communications Platforms. </w:t>
      </w:r>
      <w:r>
        <w:rPr>
          <w:rFonts w:ascii="Times New Roman;serif" w:hAnsi="Times New Roman;serif"/>
          <w:b w:val="false"/>
          <w:color w:val="000000"/>
          <w:sz w:val="20"/>
        </w:rPr>
        <w:t xml:space="preserve">New and disparate communication systems, built on the cloud to enable easier access for global and mobile workforces, present new challenges for organizations to control, understand, manage and remediate their data. These emerging data systems were not designed to support discovery or investigations, yet regulators and the courts have made clear that if emerging data contains relevant information, it should be collected and produced or the company is at risk of spoliation and fines. Organizations need a broad range of services like ours to ensure that emerging data is governed in accordance with global regulations and security best practices, and incorporated into normal legal and regulatory processes. </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Financial Markets</w:t>
      </w:r>
      <w:r>
        <w:rPr>
          <w:rFonts w:ascii="Times New Roman;serif" w:hAnsi="Times New Roman;serif"/>
          <w:b w:val="false"/>
          <w:color w:val="000000"/>
          <w:sz w:val="20"/>
        </w:rPr>
        <w:t>. Financial market factors, including credit and financing availability, terms and conditions, the willingness of financial institutions to provide debt modifications or relief, corporate debt levels, default rates, bankruptcies and restructuring, capital markets transactions, increased consolidation and the growth of emerging currencies, including digital assets and related exchanges, are significant drivers of demand for our business offerings.</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Litigation and Disputes</w:t>
      </w:r>
      <w:r>
        <w:rPr>
          <w:rFonts w:ascii="Times New Roman;serif" w:hAnsi="Times New Roman;serif"/>
          <w:b w:val="false"/>
          <w:color w:val="000000"/>
          <w:sz w:val="20"/>
        </w:rPr>
        <w:t>. Litigation and business disputes, the complexity of the issues presented, and the amount of potential damages and penalties drive demand for the services offered by many of our segments, particularly our FLC, Economic Consulting and Technology segments. Law firms and their clients, as well as government regulators and other interested third parties, rely on independent outside resources to evaluate claims and data, facilitate discovery, assess damages, provide expert reports and testimony, manage the pre-trial and in-trial process, and effectively present evidence.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M&amp;A Activity</w:t>
      </w:r>
      <w:r>
        <w:rPr>
          <w:rFonts w:ascii="Times New Roman;serif" w:hAnsi="Times New Roman;serif"/>
          <w:b w:val="false"/>
          <w:color w:val="000000"/>
          <w:sz w:val="20"/>
        </w:rPr>
        <w:t>. M&amp;A activity is an important driver for all of our segments. We offer services across all phases of the M&amp;A life cycle. Our services during the pre-transaction phase include government competition advice and pre-transaction analysis. Our services during the negotiation phase include due diligence, negotiation and other transaction advisory services, government competition, dawn raid and antitrust regulation services, expert witness testimony, asset valuations and financial communications advice. Our services following the close of a transaction include post-M&amp;A integration, transformation and disputes services.</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Operational Challenges and Opportunities</w:t>
      </w:r>
      <w:r>
        <w:rPr>
          <w:rFonts w:ascii="Times New Roman;serif" w:hAnsi="Times New Roman;serif"/>
          <w:b w:val="false"/>
          <w:color w:val="000000"/>
          <w:sz w:val="20"/>
        </w:rPr>
        <w:t xml:space="preserve">. Operational challenges and opportunities drive demand for services across all of our segments. Businesses facing challenges require the evaluation and re-evaluation of strategy, risks and opportunities. Businesses seek our enterprise transformation services when they want expert advice and execution in moments of significant change, stress, opportunity and other events that arise in the course of business; where the business model, cost structure, operations, or strategy need to materially shift to sustain or accelerate performance. Our transformation services address challenges related to enterprise risk management, reputational scrutiny, global expansion, competition from established companies, emerging businesses and technologies, doing business in emerging markets, and new and changing regulatory requirements and legislation. Management, companies and their boards need outside help to recognize, understand and evaluate such events and effect change, which drives demand for independent transformation services that combine functional and technical specialization and industry expertise. </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Regulatory Complexity, Public Scrutiny and Investigations</w:t>
      </w:r>
      <w:r>
        <w:rPr>
          <w:rFonts w:ascii="Times New Roman;serif" w:hAnsi="Times New Roman;serif"/>
          <w:b w:val="false"/>
          <w:color w:val="000000"/>
          <w:sz w:val="20"/>
        </w:rPr>
        <w:t xml:space="preserve">. Regulatory complexity, public scrutiny and investigations drive demand for services across all of our segments. The uncertain and shifting regulatory environment, complex global regulations and legislation, greater scrutiny of corporate governance, instances of corporate malfeasance, including fraud, and evolving reporting requirements drive demand for our service offerings. The need to understand and address the impact of new or changing regulation and legislation, as well as the increasing costs of doing business, including the growing number of differing data sources maintained throughout the enterprise, has prompted companies to focus on better assessing and managing risks and opportunities. In addition, boards of directors, audit committees and independent board committees have been increasingly tasked with conducting internal investigations of financial wrongdoing, regulatory non-compliance and other issues. These factors and laws, such as the Sarbanes-Oxley Act and the Dodd-Frank Wall Street Reform and Consumer Protection Act in the U.S., have contributed to the demand for independent consultants and experts to investigate and provide analyses to support the work of outside legal counsel, accountants and other advisors. These types of investigations also increasingly demand the use of multiple disciplinary service offerings like ours, which combine skills and capabilities across segments and practices with industry expertise.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Competitive Strengths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compete primarily on the basis of the breadth of our services, the quality of our work, the prominence of our professionals, our geographic reach, our reputation and performance record, our specialized industry expertise and our strong client relationships. We believe our success is driven by a combination of long-standing competitive strengths, including:</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Pre-eminent Positions and Professionals</w:t>
      </w:r>
      <w:r>
        <w:rPr>
          <w:rFonts w:ascii="Times New Roman;serif" w:hAnsi="Times New Roman;serif"/>
          <w:b w:val="false"/>
          <w:color w:val="000000"/>
          <w:sz w:val="20"/>
        </w:rPr>
        <w:t>. As a leading global expert firm for crises and transformation, we believe that we have pre-eminent market positions and experts. During 2025, awards and recognitions received by the Company include the following:</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FTI Consulting recognized as Consulting Firm of the Year, Energy Experts Firm of the Year, Insurance Expert Witnesses Firm of the Year, Investigations Digital Forensics Firm of the Year and Restructuring &amp; Insolvency Advisers Firm of the Year at the 2025 </w:t>
      </w:r>
      <w:r>
        <w:rPr>
          <w:rFonts w:ascii="Times New Roman;serif" w:hAnsi="Times New Roman;serif"/>
          <w:b w:val="false"/>
          <w:i/>
          <w:color w:val="000000"/>
          <w:sz w:val="20"/>
        </w:rPr>
        <w:t xml:space="preserve">Lexology Index </w:t>
      </w:r>
      <w:r>
        <w:rPr>
          <w:rFonts w:ascii="Times New Roman;serif" w:hAnsi="Times New Roman;serif"/>
          <w:b w:val="false"/>
          <w:color w:val="000000"/>
          <w:sz w:val="20"/>
        </w:rPr>
        <w:t>Awards.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FTI Consulting recognized as a top global investigations consultancy firm on the </w:t>
      </w:r>
      <w:r>
        <w:rPr>
          <w:rFonts w:ascii="Times New Roman;serif" w:hAnsi="Times New Roman;serif"/>
          <w:b w:val="false"/>
          <w:i/>
          <w:color w:val="000000"/>
          <w:sz w:val="20"/>
        </w:rPr>
        <w:t>Global Investigations Review</w:t>
      </w:r>
      <w:r>
        <w:rPr>
          <w:color w:val="000000"/>
        </w:rPr>
        <w:t xml:space="preserve"> </w:t>
      </w:r>
      <w:r>
        <w:rPr>
          <w:rFonts w:ascii="Times New Roman;serif" w:hAnsi="Times New Roman;serif"/>
          <w:b w:val="false"/>
          <w:color w:val="000000"/>
          <w:sz w:val="20"/>
        </w:rPr>
        <w:t>GIR 100 2025 list.</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FTI Consulting recognized as “Global Turnaround Consulting Firm of the Year” at the Turnaround Atlas Awards, the 10th time receiving this recognition.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FTI Consulting subsidiary Compass Lexecon recognized as Competition Economics Firm of the Year at the 2025 </w:t>
      </w:r>
      <w:r>
        <w:rPr>
          <w:rFonts w:ascii="Times New Roman;serif" w:hAnsi="Times New Roman;serif"/>
          <w:b w:val="false"/>
          <w:i/>
          <w:color w:val="000000"/>
          <w:sz w:val="20"/>
        </w:rPr>
        <w:t xml:space="preserve">Lexology Index </w:t>
      </w:r>
      <w:r>
        <w:rPr>
          <w:rFonts w:ascii="Times New Roman;serif" w:hAnsi="Times New Roman;serif"/>
          <w:b w:val="false"/>
          <w:color w:val="000000"/>
          <w:sz w:val="20"/>
        </w:rPr>
        <w:t>Awards.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FTI Consulting and Compass Lexecon led the</w:t>
      </w:r>
      <w:r>
        <w:rPr>
          <w:color w:val="000000"/>
        </w:rPr>
        <w:t xml:space="preserve"> </w:t>
      </w:r>
      <w:r>
        <w:rPr>
          <w:rFonts w:ascii="Times New Roman;serif" w:hAnsi="Times New Roman;serif"/>
          <w:b w:val="false"/>
          <w:i/>
          <w:color w:val="000000"/>
          <w:sz w:val="20"/>
        </w:rPr>
        <w:t>Lexology Index</w:t>
      </w:r>
      <w:r>
        <w:rPr>
          <w:color w:val="000000"/>
        </w:rPr>
        <w:t xml:space="preserve"> </w:t>
      </w:r>
      <w:r>
        <w:rPr>
          <w:rFonts w:ascii="Times New Roman;serif" w:hAnsi="Times New Roman;serif"/>
          <w:b w:val="false"/>
          <w:color w:val="000000"/>
          <w:sz w:val="20"/>
        </w:rPr>
        <w:t>Arbitration: Expert Witnesses list for the 16th consecutive year with 73 experts recognized.</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FTI Consulting and Compass Lexecon led the </w:t>
      </w:r>
      <w:r>
        <w:rPr>
          <w:rFonts w:ascii="Times New Roman;serif" w:hAnsi="Times New Roman;serif"/>
          <w:b w:val="false"/>
          <w:i/>
          <w:color w:val="000000"/>
          <w:sz w:val="20"/>
        </w:rPr>
        <w:t xml:space="preserve">Lexology Index Consulting Experts </w:t>
      </w:r>
      <w:r>
        <w:rPr>
          <w:rFonts w:ascii="Times New Roman;serif" w:hAnsi="Times New Roman;serif"/>
          <w:b w:val="false"/>
          <w:color w:val="000000"/>
          <w:sz w:val="20"/>
        </w:rPr>
        <w:t xml:space="preserve">list for the 10th consecutive year, with 183 professionals recognized globally.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FTI Consulting named a Top Consulting Firm of 2025 by Management Consulted. </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Compass Lexecon ranked the Top Economic Consulting Firm on the </w:t>
      </w:r>
      <w:r>
        <w:rPr>
          <w:rFonts w:ascii="Times New Roman;serif" w:hAnsi="Times New Roman;serif"/>
          <w:b w:val="false"/>
          <w:i/>
          <w:color w:val="000000"/>
          <w:sz w:val="20"/>
        </w:rPr>
        <w:t xml:space="preserve">Lexology Index: Competition 2025 </w:t>
      </w:r>
      <w:r>
        <w:rPr>
          <w:rFonts w:ascii="Times New Roman;serif" w:hAnsi="Times New Roman;serif"/>
          <w:b w:val="false"/>
          <w:color w:val="000000"/>
          <w:sz w:val="20"/>
        </w:rPr>
        <w:t>list with 66 professionals named.</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FTI Consulting recognized as a leading firm in the </w:t>
      </w:r>
      <w:r>
        <w:rPr>
          <w:rFonts w:ascii="Times New Roman;serif" w:hAnsi="Times New Roman;serif"/>
          <w:b w:val="false"/>
          <w:i/>
          <w:color w:val="000000"/>
          <w:sz w:val="20"/>
        </w:rPr>
        <w:t>Chambers Litigation Support 2025</w:t>
      </w:r>
      <w:r>
        <w:rPr>
          <w:rFonts w:ascii="Times New Roman;serif" w:hAnsi="Times New Roman;serif"/>
          <w:b w:val="false"/>
          <w:color w:val="000000"/>
          <w:sz w:val="20"/>
        </w:rPr>
        <w:t xml:space="preserve">, </w:t>
      </w:r>
      <w:r>
        <w:rPr>
          <w:rFonts w:ascii="Times New Roman;serif" w:hAnsi="Times New Roman;serif"/>
          <w:b w:val="false"/>
          <w:i/>
          <w:color w:val="000000"/>
          <w:sz w:val="20"/>
        </w:rPr>
        <w:t>Chambers Crisis and Risk Management 2025, Chambers NewLaw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Chambers FinTech 2025 </w:t>
      </w:r>
      <w:r>
        <w:rPr>
          <w:rFonts w:ascii="Times New Roman;serif" w:hAnsi="Times New Roman;serif"/>
          <w:b w:val="false"/>
          <w:color w:val="000000"/>
          <w:sz w:val="20"/>
        </w:rPr>
        <w:t>guides</w:t>
      </w:r>
      <w:r>
        <w:rPr>
          <w:rFonts w:ascii="Times New Roman;serif" w:hAnsi="Times New Roman;serif"/>
          <w:b w:val="false"/>
          <w:i/>
          <w:color w:val="000000"/>
          <w:sz w:val="20"/>
        </w:rPr>
        <w:t>.</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 xml:space="preserve">FTI Consulting recognized as one of the World's Best Public Relations Agencies by </w:t>
      </w:r>
      <w:r>
        <w:rPr>
          <w:rFonts w:ascii="Times New Roman;serif" w:hAnsi="Times New Roman;serif"/>
          <w:b w:val="false"/>
          <w:i/>
          <w:color w:val="000000"/>
          <w:sz w:val="20"/>
        </w:rPr>
        <w:t xml:space="preserve">CEOWorld </w:t>
      </w:r>
      <w:r>
        <w:rPr>
          <w:rFonts w:ascii="Times New Roman;serif" w:hAnsi="Times New Roman;serif"/>
          <w:b w:val="false"/>
          <w:color w:val="000000"/>
          <w:sz w:val="20"/>
        </w:rPr>
        <w:t>magazine</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Diversified Service Offerings</w:t>
      </w:r>
      <w:r>
        <w:rPr>
          <w:rFonts w:ascii="Times New Roman;serif" w:hAnsi="Times New Roman;serif"/>
          <w:b w:val="false"/>
          <w:color w:val="000000"/>
          <w:sz w:val="20"/>
        </w:rPr>
        <w:t>. Our five reportable segments offer a diversified portfolio of practices providing services globally. Our broad range of practices and services, our specialized industry expertise and our global reach distinguish us from our competitors. This diversity helps to mitigate the impact on our financial results of economic cycles, crises, events and changes in a particular practice, industry or country.</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Diversified Portfolio of Elite Clients</w:t>
      </w:r>
      <w:r>
        <w:rPr>
          <w:rFonts w:ascii="Times New Roman;serif" w:hAnsi="Times New Roman;serif"/>
          <w:b w:val="false"/>
          <w:color w:val="000000"/>
          <w:sz w:val="20"/>
        </w:rPr>
        <w:t xml:space="preserve">. We provide services to a diverse group of clients, including Fortune 500 companies, FTSE 100 companies, global financial institutions, banks, private equity funds and local, state and national governments and agencies in the U.S. and other countries. Additionally, 99 of the top 100 law firms as ranked by American Lawyer Global 100 Most Revenue List refer or engage us directly or on behalf of numerous clients on multiple matters. We are also an advisor to 95 of the Fortune 100 companies and 82 of the top 100 private equity firms on the Private Equity International 300 list. </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Demand for Integrated Solutions and a Consultative Approach</w:t>
      </w:r>
      <w:r>
        <w:rPr>
          <w:rFonts w:ascii="Times New Roman;serif" w:hAnsi="Times New Roman;serif"/>
          <w:b w:val="false"/>
          <w:color w:val="000000"/>
          <w:sz w:val="20"/>
        </w:rPr>
        <w:t>. Our breadth and depth of practice and service offerings combined with our deep industry expertise and global footprint drive demand from clients that seek our unique cross-segment and cross-region client solutions as a leading global expert firm for crises and transformation: both event-driven and well-planned situations, including mergers and acquisitions, reputational issues, antitrust issues, liquidity issues, investigations and disputes, and long-term transformation and strategy events across different jurisdictions.</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Strong Cash Flows</w:t>
      </w:r>
      <w:r>
        <w:rPr>
          <w:rFonts w:ascii="Times New Roman;serif" w:hAnsi="Times New Roman;serif"/>
          <w:b w:val="false"/>
          <w:color w:val="000000"/>
          <w:sz w:val="20"/>
        </w:rPr>
        <w:t>. Our business model has several characteristics that produce consistent cash flows. Our strong cash flows support business operations, capital expenditures and our ability to service our indebtedness and pursue our growth and other strategies.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 Strategy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build client relationships based on the quality of our services, our brand and the reputation of our professionals. We provide diverse complementary services to meet our clients’ needs around the world. We emphasize client service and satisfaction. We aim to build strong brand recognition. The following are key elements of our business strategy:</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Leverage Our Practitioners’ and Businesses’ Expertise, Geographic Reach, Diverse Service Offerings and Client Relationships</w:t>
      </w:r>
      <w:r>
        <w:rPr>
          <w:rFonts w:ascii="Times New Roman;serif" w:hAnsi="Times New Roman;serif"/>
          <w:b w:val="false"/>
          <w:color w:val="000000"/>
          <w:sz w:val="20"/>
        </w:rPr>
        <w:t>. We work hard to maintain and strengthen our core practices and competencies. We believe that our recognized expertise, geographic reach, diverse service offerings and client relationships, coupled with our successful track record of serving as a trusted advisor for our clients when they are facing their greatest challenges and opportunities, are the most critical elements in a decision to retain us. Many of our professionals are recognized experts in their respective fields.</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Grow Organically</w:t>
      </w:r>
      <w:r>
        <w:rPr>
          <w:rFonts w:ascii="Times New Roman;serif" w:hAnsi="Times New Roman;serif"/>
          <w:b w:val="false"/>
          <w:color w:val="000000"/>
          <w:sz w:val="20"/>
        </w:rPr>
        <w:t>. Our strategy is to identify where we are best positioned to help our clients solve their most complex issues, invest behind those positions and leverage that success to grow organically.</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Profitable Growth</w:t>
      </w:r>
      <w:r>
        <w:rPr>
          <w:rFonts w:ascii="Times New Roman;serif" w:hAnsi="Times New Roman;serif"/>
          <w:b w:val="false"/>
          <w:color w:val="000000"/>
          <w:sz w:val="20"/>
        </w:rPr>
        <w:t xml:space="preserve">. We endeavor to leverage our investments to build positions that will support profitable growth on a sustained basis through a variety of economic conditions. </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Enhance Value through Capital Allocation</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The strength of our balance sheet gives us the flexibility to allocate capital and create shareholder value in numerous ways, including investments in organic growth, share repurchases and acquisitions, among other capital allocation vehicles. </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Strategic Acquisitions</w:t>
      </w:r>
      <w:r>
        <w:rPr>
          <w:rFonts w:ascii="Times New Roman;serif" w:hAnsi="Times New Roman;serif"/>
          <w:b w:val="false"/>
          <w:i/>
          <w:color w:val="000000"/>
          <w:sz w:val="20"/>
        </w:rPr>
        <w:t xml:space="preserve">. </w:t>
      </w:r>
      <w:r>
        <w:rPr>
          <w:rFonts w:ascii="Times New Roman;serif" w:hAnsi="Times New Roman;serif"/>
          <w:b w:val="false"/>
          <w:color w:val="000000"/>
          <w:sz w:val="20"/>
        </w:rPr>
        <w:t>We consider strategic and opportunistic acquisition opportunities on a selective basis. We seek to integrate completed acquisitions and manage investments in a way that fosters organic growth, expands our geographic presence or complements our segments, services and industry positions. We typically structure our acquisitions to retain the services of key individuals from the acquired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Marketing</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rely primarily on our senior professionals to identify and pursue business opportunities. Referrals from clients, law firms and other intermediaries and our reputation from prior engagements are also key factors in securing new business. Our professionals often learn about new business opportunities from their frequent contact and close working relationships with clients. In marketing our services, we emphasize our experience, the quality of our services and our professionals’ particular areas of expertise, as well as our ability to quickly staff large engagements across multiple jurisdictions. While we aggressively seek new business opportunities, we maintain high professional standards and carefully evaluate potential new client relationships and engagements before accepting them.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FTI Consulting, we seek to provide the highest quality services to our clients. We do this by attracting and retaining experts in their fields, empowering an inclusive global workforce, providing opportunities for advancement and personal growth, and supporting the communities in which we do business. As of December 31, 2025, we employed 8,118 employees, of which 6,421 were billable professionals. We also engage independent contractors who provide services to us to supplement our professionals on client engagements as needed.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aim to advance the best interests of all our stakeholders through:</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Attracting and Retaining Highly Qualified Professionals.</w:t>
      </w:r>
      <w:r>
        <w:rPr>
          <w:color w:val="000000"/>
        </w:rPr>
        <w:t xml:space="preserve"> </w:t>
      </w:r>
      <w:r>
        <w:rPr>
          <w:rFonts w:ascii="Times New Roman;serif" w:hAnsi="Times New Roman;serif"/>
          <w:b w:val="false"/>
          <w:color w:val="000000"/>
          <w:sz w:val="20"/>
        </w:rPr>
        <w:t xml:space="preserve">Our professionals are crucial to delivering our services to clients and generating new business. Through our staff of highly qualified professionals, we can handle a large number of complex global assignments simultaneously. To attract and retain highly qualified professionals, we offer various compensation opportunities, including sign-on bonuses, incentive pay opportunities, and retention bonuses (including forgivable and repayable loans), along with a competitive benefits package and the opportunity to work on challenging global engagements with highly skilled peers. </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 xml:space="preserve">Expert-Driven Model. </w:t>
      </w:r>
      <w:r>
        <w:rPr>
          <w:rFonts w:ascii="Times New Roman;serif" w:hAnsi="Times New Roman;serif"/>
          <w:b w:val="false"/>
          <w:color w:val="000000"/>
          <w:sz w:val="20"/>
        </w:rPr>
        <w:t>Our professionals include Ph.D.s, MBAs, JDs, CPAs, CPA-ABVs (CPAs accredited in business valuations), CPA-CFFs (CPAs certified in financial forensics), CRAs (certified risk analysts), Certified Turnaround Professionals, Certified Insolvency and Reorganization Advisors, Certified Fraud Examiners, ASAs (accredited senior appraisers), construction engineers and former senior government officials.</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 xml:space="preserve">Inclusive and High-Performing Culture. </w:t>
      </w:r>
      <w:r>
        <w:rPr>
          <w:rFonts w:ascii="Times New Roman;serif" w:hAnsi="Times New Roman;serif"/>
          <w:b w:val="false"/>
          <w:color w:val="000000"/>
          <w:sz w:val="20"/>
        </w:rPr>
        <w:t>We work to foster an inclusive and high-performing culture where our professionals can grow their careers and achieve their full potential. We are dedicated to recruiting, employing and maintaining an inclusive workforce. We believe that a workforce reflecting the diverse backgrounds, perspectives and experiences of our clients, vendors, stakeholders, and the communities in which we operate enhances the quality of our services, drives employee engagement and retention, attracts top talent and elevates the overall value of our business.</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 xml:space="preserve">Talent Development. </w:t>
      </w:r>
      <w:r>
        <w:rPr>
          <w:rFonts w:ascii="Times New Roman;serif" w:hAnsi="Times New Roman;serif"/>
          <w:b w:val="false"/>
          <w:color w:val="000000"/>
          <w:sz w:val="20"/>
        </w:rPr>
        <w:t xml:space="preserve">We support the development of our professionals at all levels of their careers. Our robust Talent Development program includes onboarding programs for new hires, training programs to prepare promotes for success in their new roles and leadership readiness programs to help our people build the skills needed to advance to our most senior positions. These training programs are supplemented by self-directed e-learning programs, among other segment-level talent development and training opportunities. </w:t>
      </w:r>
    </w:p>
    <w:p>
      <w:pPr>
        <w:pStyle w:val="TextBody"/>
        <w:bidi w:val="0"/>
        <w:spacing w:lineRule="auto" w:line="288" w:before="0" w:after="180"/>
        <w:ind w:left="0" w:right="0" w:hanging="270"/>
        <w:jc w:val="left"/>
        <w:rPr/>
      </w:pPr>
      <w:r>
        <w:rPr>
          <w:color w:val="000000"/>
        </w:rPr>
        <w:t>•</w:t>
      </w:r>
      <w:r>
        <w:rPr>
          <w:rFonts w:ascii="Times New Roman;serif" w:hAnsi="Times New Roman;serif"/>
          <w:b/>
          <w:i/>
          <w:color w:val="000000"/>
          <w:sz w:val="20"/>
        </w:rPr>
        <w:t xml:space="preserve">Corporate Citizenship. </w:t>
      </w:r>
      <w:r>
        <w:rPr>
          <w:rFonts w:ascii="Times New Roman;serif" w:hAnsi="Times New Roman;serif"/>
          <w:b w:val="false"/>
          <w:color w:val="000000"/>
          <w:sz w:val="20"/>
        </w:rPr>
        <w:t>We practice responsible corporate citizenship to drive positive change in the communities in which we do business. All full-time FTI Consulting employees are eligible to participate in our Corporate Citizenship program, which includes charitable gift matching, paid time off for volunteering and corporate-sponsored pro bono engagements.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Employment Agreements, Incentive, Retention and Sign-on Payments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written employment agreements with substantially all of our 798 Senior Managing Directors and equivalent personnel (collectively, “SMDs”) that set forth their compensation opportunities and the terms and conditions of their service. These written employment agreements may include incentive compensation opportunities that can take the form of cash, equity or loans (including forgivable and repayable loans). Incentive-based opportunities are subject to financial or individual performance criteria. We may also impose meaningful time-based service requirements. In the case of incentive pay that is subject to vesting or loans that are subject to forgiveness conditions, we generally limit accelerated vesting or loan forgiveness protection to qualifying termination of employment and corporate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administer other incentive compensation programs that include cash, equity awards, loans or some combination thereof, depending on the jurisdiction in which the participant is employed. Cash awards generally provide for fixed payments at some future date. In most cases, equity awards granted by the Company take the form of shares of restricted stock or restricted stock units that are subject to fixed vesting schedules ranging over two to nine years, depending on the value of such awards on the grant date. Forgivable loans provide that the principal amount and accrued interest will be forgiven over a period ranging from two to nine years, subject to continued service. Repayments for repayable loans are funded through an additional cash bonus payment, subject to continued service. Participants in non-U.S. jurisdictions may receive other forms of compensation under similar programs with substantially equivalent values and subject to comparable conditions. In substantially all cases, incentive compensation opportunities are subject to continued employment.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compensation opportunities that we offer differ depending on the professional’s title, level, individual expertise and other qualifications, as well as across the jurisdictions in which we operate. We believe the compensation opportunities that we offer are competitive with our peers in terms of mix and magnitude and are designed to comply with the laws and regulations of the jurisdictions in which we conduct business. The value of our incentive-based opportunities, in the aggregate, as well as on an individual basis, has been and is expected to continue to be significant.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Clients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no single client accounted for more than 10% of our consolidated revenues and no reportable segment had a single client that accounted for more than 10% of its respective total segment revenues. In some cases, we may have engagements through law firms that represent a larger percentage of our consolidated revenues or the revenues of a segment; however, in these situations, each law firm engages us on behalf of multiple clients.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compete with different companies or business segments within companies depending on the nature of a proposed engagement and the requested types of service(s) or the location of the client or delivery of the service(s) or product(s). Our competitors include large organizations, such as the global accounting firms and large management and financial consulting companies that offer a broad range of consulting services; investment banking firms; information technology consulting and software companies that offer niche services that are the same or similar to services or products offered by one or more of our segments and small firms and independent contractors that provide one or more specialized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compete primarily on the basis of the breadth of our services, the quality of our work, the prominence of our professionals, our geographic reach, our reputation and performance record, our specific industry expertise, our ability to staff multiple significant engagements across disciplines and industries in multiple locations, and our strong client relationships. Our Technology segment, particularly with respect to hosting and e-discovery services, and to a lesser extent our other segments, may also compete on price. Since our businesses depend in large part on professional relationships, there are low barriers of entry for professionals, including our professionals, electing to work independently, start their own firms or change employers.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Corporate Finance segment primarily competes with specialty boutiques and publicly traded companies providing restructuring, bankruptcy and M&amp;A services and, to a lesser extent, large investment banks, management consulting firms and global accounting firms.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FLC segment primarily competes with other large consulting companies, specialty boutiques and global accounting firms with service offerings similar to ours.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Economic Consulting segment primarily competes with individually recognized economists, specialty boutiques and large consulting companies with service offerings similar to ours.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Technology segment primarily competes with consulting and/or software providers specializing in e-discovery, electronically stored information and the management of electronic content.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Strategic Communications segment competes with large public relations firms, as well as boutique M&amp;A, crisis communications and public affairs firms.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Some service providers are larger than we are and, on certain engagements, may have an advantage over us with respect to one or more competitive factors. Specialty boutiques or smaller local or regional firms, while not offering the range of services we provide, may compete with us on the basis of geographic proximity, specialty services or price. In addition, some segments compete in industries subject to significant and rapid innovation. Larger competitors may be able to react more quickly to new regulatory or legal requirements and other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180"/>
        <w:ind w:left="0" w:right="0" w:firstLine="540"/>
        <w:jc w:val="left"/>
        <w:rPr/>
      </w:pPr>
      <w:r>
        <w:rPr>
          <w:rFonts w:ascii="Times New Roman;serif" w:hAnsi="Times New Roman;serif"/>
          <w:b w:val="false"/>
          <w:color w:val="000000"/>
          <w:sz w:val="20"/>
        </w:rPr>
        <w:t>Our common stock is listed on the New York Stock Exchange (the “NYSE”) under the symbol FCN. Our executive offices are located at 555 12</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Street NW, Suite 700, Washington, D.C. 20004. Our telephone number is 202-312-9100. Our website is </w:t>
      </w:r>
      <w:r>
        <w:rPr>
          <w:rFonts w:ascii="Times New Roman;serif" w:hAnsi="Times New Roman;serif"/>
          <w:b w:val="false"/>
          <w:i/>
          <w:color w:val="000000"/>
          <w:sz w:val="20"/>
        </w:rPr>
        <w:t>http://www.fticonsulting.com</w:t>
      </w:r>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We make available, free of charge, on or through our website at </w:t>
      </w:r>
      <w:r>
        <w:rPr>
          <w:rFonts w:ascii="Times New Roman;serif" w:hAnsi="Times New Roman;serif"/>
          <w:b w:val="false"/>
          <w:i/>
          <w:color w:val="000000"/>
          <w:sz w:val="20"/>
        </w:rPr>
        <w:t>http://www.fticonsulting.com</w:t>
      </w:r>
      <w:r>
        <w:rPr>
          <w:rFonts w:ascii="Times New Roman;serif" w:hAnsi="Times New Roman;serif"/>
          <w:b w:val="false"/>
          <w:color w:val="000000"/>
          <w:sz w:val="20"/>
        </w:rPr>
        <w:t>, our annual, quarterly and current reports and any amendments to those reports, our proxy statements, as well as our other filings with the SEC, as soon as reasonably practicable after electronically filing them with the SEC. Information posted on our website is not part of this Annual Report or any other report filed with the SEC in satisfaction of the requirements of the Exchange Act. Copies of this Annual Report, as well as other periodic reports filed with the SEC, may also be requested at no charge from our Corporate Secretary at FTI Consulting, Inc., 555 12</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Street NW, Suite 700, Washington, D.C. 20004, email address: mike.rosenthall@fticonsulting.com.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All of the following risks, uncertainties and factors could materially and adversely affect our business, prospects, financial condition, results of operations, cash flows and liquidity. In addition to the risks, uncertainties and factors discussed below and elsewhere in this Annual Report, other risks, uncertainties and factors not currently known to us or that we currently consider immaterial could, in the future, materially and adversely affect our business, prospects, financial condition, financial results, cash flows and liquidity. Some of the risks, uncertainties and factors discussed below may have occurred in the past, but the disclosures below are not representations as to whether or not the risks, uncertainties or factors have occurred in the past, and instead reflect our beliefs and opinions as to the risks, uncertainties and factors that could materially and adversely affect us in the future.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Reportable Segments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capital markets, M&amp;A activity, legal or regulatory requirements, general economic conditions and monetary or geopolitical disruptions, as well as other factors beyond our control, could reduce demand for one or more of our segment or practice offerings or services, in which case our revenues and profitability could decline.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Different U.S. and/or international factors outside of our control could affect demand for a segment’s practices and our services. These include: (i) fluctuations in U.S. and/or global economies, including economic downturns or recessions and the strength and rate of any general economic recoveries; (ii) the U.S. or global financial markets and the availability, costs, and terms of credit and credit modifications, including interest rate levels and inflationary pressures; (iii) level of leverage incurred by countries or businesses; (iv) M&amp;A activity; (v) frequency and complexity of significant commercial litigation; (vi) overexpansion by businesses causing financial difficulties; (vii) business and management crises, including the occurrence of alleged fraudulent or illegal activities and practices; (viii) new and complex laws and regulations, repeals of existing laws and regulations or changes of enforcement of laws, rules and regulations, including antitrust/competition reviews of proposed M&amp;A transactions; (ix) other economic, geographic or political factors, including wars and other geopolitical conflicts; (x) widespread public health crises, including epidemics and pandemics and government restrictions or regulations enacted in response thereto, or employees’ refusal to adhere to such restrictions; and (xi) general business or other conditions in the U.S. and other jurisdictions in which we conduct business or our employee population resides.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not able to predict the positive or negative effects that future events or changes to the U.S. or global economies will have on our business or the business of any particular segment or practice. Fluctuations, changes and disruptions in financial, credit, M&amp;A and other markets, political instability, significant geopolitical conflicts and general business factors could impact various segments’ operations and could affect such operations differently. Changes to factors described above, as well as other events, including by way of example, contractions of regional economies, or the economy of a particular country, trade restrictions, sanctions, prohibitions or restrictions, or laws, regulations, or other conditions or limitations, on conducting business in certain geographies or with certain persons or governments or authorities, monetary systems, banking, real estate and retail or other industries; government shutdowns; inflation and interest rate fluctuations; debt or credit difficulties or defaults by businesses or countries; new, repeals of or changes to laws and regulations, including changes to the bankruptcy and competition laws of the U.S. or other countries; tort reform; banking reform; a decline in the implementation or adoption of new laws or regulations, or in government enforcement, litigation or monetary damages or remedies that are sought; climate change; or political instability and wars may have adverse effects on one or more of our segments or service, practice or industry offerings.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revenues, operating income and cash flows are likely to fluctuate.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experience fluctuations in our revenues and cost structure and the resulting operating income and cash flows and expect that this will continue to occur in the future. We experience fluctuations in our annual and quarterly financial results, including revenues, operating income and earnings per share, for reasons that include: (i) the types and complexity, number, size, timing and duration of client engagements; (ii) the timing of revenues; (iii) the utilization of billable professionals, including the ability to adjust staffing levels up or down to accommodate the business and prospects of the applicable segment and practice; (iv) the number of new hires, their compensation and the time it takes before a new hire becomes profitable; (v) the departure of professionals in the ordinary course of business; (vi) the geographic locations of our clients or the locations where services are rendered; (vii) billing rates and fee arrangements, including the opportunity and ability to successfully reach milestones, and complete engagements and collect success fees and other outcome-contingent or performance-based fees; (viii) the length of billing and collection cycles and changes in amounts that may become uncollectible; (ix) changes in the frequency and complexity of government regulatory and enforcement activities; (x) business and asset acquisitions; (xi) fluctuations in the exchange rates of various currencies against the U.S. dollar; (xii) wage and cost increases; and (xiii) other economic factors beyond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different segments and practices may be affected differently by the above factors. Certain of our practices, particularly our restructuring practice, tend to experience their highest demand during periods when market and/or industry conditions are less favorable for many businesses. For example, in periods of limited credit availability, reduced M&amp;A activity and/or declining business and/or consumer spending, while not always the case, there may be increased restructuring opportunities that will cause our restructuring practice to experience high demand. On the other hand, those same factors may cause one or more of our other segments and practices, such as our M&amp;A-related “second request” services in Technology, to experience reduced demand. The positive effects of certain events or factors on certain segments and practices may not be sufficient to overcome the negative effects of those same or other events or factors on other parts of our business. In addition, our mix of practice offerings adds complexity to the task of predicting revenues and results of operations and managing our staffing levels and expenditures across changing business cycles and economic environments.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derive a portion of our revenues from large engagements. The loss of a large client or the completion of a major engagement can impact our business, financial condition, and results of operations if we do not obtain a sufficient number of new large engagements to replace lost clients or completed engagements. Our results are also subject to seasonal and similar factors, such as during the fourth quarter when our professionals and our clients typically take vacations. We may also experience fluctuations in our operating income and related cash flows because of increases in employee compensation, including changes to our incentive compensation structure and the timing of incentive payments, which we generally pay during the first quarter of each year, or hiring or retention payments, which are paid throughout the year. Also, the timing of investments or acquisitions and the cost of integrating them may cause fluctuations in our financial results, including operating income and cash flows. This volatility makes it difficult to forecast our future results with precision and to assess accurately whether increases or decreases in any one or more quarters are likely to cause annual results to exceed or fall short of previously issued guidance. While we assess our annual guidance at the end of each quarter and update such guidance when we think it is appropriate, unanticipated future volatility can cause actual results to vary significantly from our guidance, even where that guidance reflects a range of possible results and has been updated to take account of partial-year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effectively manage the utilization of our professionals or billable rates, our financial results could decline.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manage the utilization of our professionals who bill on an hourly basis, or maintain or increase the hourly rates we charge our clients for our services, could result in adverse consequences, such as non- or lower-revenue-generating professionals, increased employee turnover, fixed compensation expenses in periods of declining revenues, the inability to appropriately staff engagements with employees and/or independent consultants (including adding or reducing staff during periods of increased or decreased demand for our services, or redeploying staff to other practices or engagements), or special charges associated with reductions in staff or operations. Reductions in workforce or increases of billable rates will not necessarily lead to savings. In such events, our financial results may decline or be adversely impacted. A number of factors affect the utilization of our workforce, some of which we cannot predict with certainty, including general economic and financial market conditions; the complexity, number, type, size and timing of client engagements; the level of demand for our services; appropriate staffing levels, in light of changing client demands, expectations or market conditions; redeployment or utilization of staff across segments and geographic regions; competition; acquisitions; or the utilization of temporary independent consultants who may be compensated on a different or higher basis than certain employees, provide services under fixed-term and/or fixed-fee contracts that are not amenable to extension or early termination, or are not as disposed to redeployment to other client engagements, segments or practices. In addition, our global expansion into or within locations where we are not well-known or where demand for our services is not well-developed could also contribute to low or lower utilization rates in certain locations.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practices within our segments may enter into engagements such as fixed-fee and time and materials with caps. Failure to effectively manage staff utilization and other aspects of alternative fee engagements may result in the costs of providing such services exceeding the fees collected by the Company. Failure to successfully complete or reach milestones with respect to contingent fee or success fee assignments may also lead to lower revenues or the costs of providing services under those types of arrangements may exceed the fees collected by the Company.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Factors that could negatively affect utilization in our segments include:</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Corporate Finance </w:t>
      </w:r>
      <w:r>
        <w:rPr>
          <w:color w:val="000000"/>
        </w:rPr>
        <w:t xml:space="preserve">— </w:t>
      </w:r>
      <w:r>
        <w:rPr>
          <w:rFonts w:ascii="Times New Roman;serif" w:hAnsi="Times New Roman;serif"/>
          <w:b w:val="false"/>
          <w:color w:val="000000"/>
          <w:sz w:val="20"/>
        </w:rPr>
        <w:t>The completion of bankruptcy proceedings; the timing of the completion of other engagements; fewer and smaller restructuring (including bankruptcy) cases; a recovering or strong economy; easy credit availability; lower interest rates; fewer, smaller and less complex M&amp;A and restructuring activity; and less capital markets activity or fewer complex transactions.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FLC </w:t>
      </w:r>
      <w:r>
        <w:rPr>
          <w:color w:val="000000"/>
        </w:rPr>
        <w:t xml:space="preserve">— </w:t>
      </w:r>
      <w:r>
        <w:rPr>
          <w:rFonts w:ascii="Times New Roman;serif" w:hAnsi="Times New Roman;serif"/>
          <w:b w:val="false"/>
          <w:color w:val="000000"/>
          <w:sz w:val="20"/>
        </w:rPr>
        <w:t xml:space="preserve">The settlement of litigation; less frequent instances of significant mismanagement, fraud, wrongdoing or other business problems that could result in fewer or less complex business engagements; fewer and less complex legal disputes;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fewer class action suits; the timing of the completion of engagements; less government regulation, less government enforcement activity, and fewer regulatory investigations; and the timing of government investigations and litigation. </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Economic Consulting </w:t>
      </w:r>
      <w:r>
        <w:rPr>
          <w:color w:val="000000"/>
        </w:rPr>
        <w:t xml:space="preserve">— </w:t>
      </w:r>
      <w:r>
        <w:rPr>
          <w:rFonts w:ascii="Times New Roman;serif" w:hAnsi="Times New Roman;serif"/>
          <w:b w:val="false"/>
          <w:color w:val="000000"/>
          <w:sz w:val="20"/>
        </w:rPr>
        <w:t xml:space="preserve">Fewer, smaller and less complex M&amp;A activity; less capital markets activity or fewer complex transactions; a reduced number of regulatory filings and less litigation, reduced or less aggressive antitrust and competition regulation or enforcement; fewer government investigations and proceedings; and the timing of client utilization of our services. </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Technology </w:t>
      </w:r>
      <w:r>
        <w:rPr>
          <w:color w:val="000000"/>
        </w:rPr>
        <w:t xml:space="preserve">— </w:t>
      </w:r>
      <w:r>
        <w:rPr>
          <w:rFonts w:ascii="Times New Roman;serif" w:hAnsi="Times New Roman;serif"/>
          <w:b w:val="false"/>
          <w:color w:val="000000"/>
          <w:sz w:val="20"/>
        </w:rPr>
        <w:t xml:space="preserve">The settlement of litigation; a decline in volume and complexity of litigation proceedings and governmental investigations; a decline in volume and the timing of M&amp;A activities and reduced or less aggressive enforcement of antitrust and competition regulations; the more rapid and successful integration of new and emerging technologies in client offerings, such as artificial intelligence (“AI”) or machine learning, by competitors, or the availability and engagement of independent consultants, which this segment, more than our other segments, relies on for staffing e-discovery and certain other types of client engagements. </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Strategic Communications </w:t>
      </w:r>
      <w:r>
        <w:rPr>
          <w:color w:val="000000"/>
        </w:rPr>
        <w:t xml:space="preserve">— </w:t>
      </w:r>
      <w:r>
        <w:rPr>
          <w:rFonts w:ascii="Times New Roman;serif" w:hAnsi="Times New Roman;serif"/>
          <w:b w:val="false"/>
          <w:color w:val="000000"/>
          <w:sz w:val="20"/>
        </w:rPr>
        <w:t>Fewer event-driven crises affecting businesses; general economic decline that may reduce certain discretionary spending by clients; a decline in capital markets activity, including M&amp;A; and fewer public securities offerings.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segments may face risks of fee non-payment, and clients may seek to renegotiate existing fees and contract arrangements and may not accept billable rate or price increases, which could result in loss of engagements, fee write-offs, reduced revenues and less profitable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some cases, our segments are engaged by certain clients who are or anticipate experiencing financial distress or are facing complex challenges, are engaging in litigation or regulatory or judicial proceedings, or are facing foreclosure of collateral or liquidation of assets. This may be due to general economic conditions; lingering effects of past economic slowdowns or recession; or business- or operations-specific reasons. Such clients may not have sufficient funds to continue operations or to pay for our services. We typically do not receive retainers before we begin performing services on a client’s behalf in connection with a significant number of engagements in our segments. In the cases where we have received retainers, we cannot assure the retainers will adequately cover our fees for the services we perform on behalf of these clients. With respect to bankruptcy cases, bankruptcy courts have the discretion to require us to return all, or a portion of, our fees.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receive requests to discount our fees or to negotiate lower rates for our services and to agree to contract terms relative to the scope of services and other terms that may limit the size of an engagement or our ability to pass-through costs. We consider these requests on a case-by-case basis. We routinely receive these types of requests and expect this to continue in the future. In addition, our clients and prospective clients may not accept rate increases that we put into effect or plan to implement in the future. Fee discounts, pressure not to increase or pressure to decrease our rates, and less advantageous contract terms could result in the loss of clients, lower revenues and operating income, higher costs and less profitable engagements. More discounts or write-offs than we expect in any period would have a negative impact on our results of operations. There is no assurance that significant client engagements will be renewed or replaced in a timely manner or at all, or that they will generate the same volume of work or revenues or be as profitable as past engagements.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clients prefer fixed and other alternative fee arrangements that place revenue ceilings or other limitations on our fee structure or may shift more of our revenue-generating potential to back-end contingent and success fee arrangements. With respect to such alternative fee arrangements, we may discount our rates initially, which could mean that the cost of providing services exceeds the fees collected by the Company during all or a portion of the term of the engagement. In such cases, the Company’s failure to manage the engagement efficiently or collect the success or performance fees could expose the Company to a greater risk of loss on such engagement than other fee arrangements or may cause variations in the Company’s revenues and operating results due to the timing of achievement of the performance-based criteria, if achieved at all. A segment’s ability to service clients with these fee arrangements at a cost that does not directly correlate to time and materials may negatively impact or result in a loss of the profitability of such engagements, adversely affecting the financial results of the segment.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segments and practices could suffer competitive, reputational and business harm or increased liability or legal or regulatory action arising from the rapid introduction, integration, deployment, evolution and use of new technologies, including AI.</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benefits and risks of adopting and implementing new and emerging technologies, such as AI, necessitates, in most cases, our review and analysis of such technology and its risks and benefits on a service-by-service basis. The need for complex analysis could result in significant delays adopting AI and other technologies, which could adversely impact our competitive position; ability to market services; win new engagements; provide state-of-the-art services to clients; and attract, hire and retain members of our workforce, as compared to early adopters of such technologies. Furthermore, we may not be successful in our AI or other technology-related initiatives. Moreover, AI algorithms and training methodologies may be flawed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datasets may be over-broad, insufficient or contain biased or inaccurate information. The adoption of new technologies, such as AI, may require the investment of significant capital, time and resources. Such investment could require the engagement of third parties or independent contractors and may interfere with the other duties of our management and employees. Leveraging AI capabilities for our internal functions and operations presents additional risks, costs and challenges, including those discussed in these risk factors. The development, adoption and use of AI technologies are still in the early stages and involve significant risks and uncertainties, which may expose us to legal, reputational and financial harm. In addition, AI and other technologies that are open source and available for no or low cost could result in low barriers to development and utilization, and additional competition from third parties, and the adoption and deployment of AI and other new and emerging technologies by competitors more rapidly or successfully than we do could materially adversely affect our competitive position and financial results.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New technologies, such as AI, continue to evolve and as a result, risks continue to be unknown or uncertain. We are increasingly applying AI-based technologies to our solutions and services, to how we deliver work for our clients, and in our own internal operations. As these technologies evolve, some non-expert services and tasks currently performed by our professionals have been and will continue to be replaced by automation, including AI-enabled solutions, which could lead to reduced demand for our services and/or adversely affect the utilization rate of our professionals, if demand for those services is not replaced by demand for new solutions and services or if the pace and level of spending on new solutions or services are not sufficient to make up any shortfall. If we are unable to introduce or if our clients do not accept new pricing or commercial models that reflect the value of these AI-enabled solutions, our results of operations may be adversely affected. There is no assurance that (i) we can successfully develop, integrate and deploy AI or other technologies in our business, (ii) such technologies will improve and enhance our services, operations or profitability, (iii) clients will accept the incorporation of such technology in our services, (iv) we can successfully market the use of these technologies to prospective clients, (v) we can hire and retain staff with the required specialized knowledge and skills to utilize these technologies, (vi) new or heightened cybersecurity, data protection or other operational risks will not arise, (vii) we can identify, mitigate or recover from cybersecurity incidents or other adverse events that occur, (viii) we can protect and maintain the privacy of our employees and safeguard confidential and proprietary information, (ix) new laws, regulations or regulatory interpretations will not be adopted, or that compliance with any such requirements will not be burdensome, (x) material additional monetary and time expenditures will not be required, (xi) we can pass on costs of such technologies to clients, (xii) AI and other emerging technologies will be compatible with our existing systems and technologies, or (xiii) AI and other new technologies will not result in significant legal and other liabilities, challenges, regulatory, reputational or operational issues, and ethical or other dilemmas. The above risks and potential effects could result in material adverse consequences to our operations, reputation, client relationships, ability to market our services, and financial results.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Technology segment faces certain risks, including (i) industry consolidation and a highly competitive environment, (ii) downward pricing pressure, (iii) data breaches, (iv) technology changes and obsolescence, including AI and machine learning, and (v) failure to protect intellectual property (“IP”) used by the segment, which individually or together could cause the financial results and prospects of this segment and the Company to decline.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Technology segment faces significant competition from other consulting and/or software providers specializing in e-discovery and the management of electronic content. There has been considerable new development and evolution of technologies such as AI and machine learning, used to perform certain services. Rapid adoption and deployment by other companies in our industry could adversely affect our ability to offer and provide competitive services. Competitors may introduce new offerings and technologies that operate more quickly, provide better outcomes or are alternatives to our service offerings. If our competitors are more successful employing new technologies, such as AI and machine learning, our financial performance and operations, competitive position and reputation may be negatively impacted.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continues to be consolidation of companies providing products and services similar to those offered by our Technology segment, which may provide competitors access to greater financial and other resources than those of the Company. Larger competitors may be able to react more quickly to new regulatory or legal requirements and provide similar services at lower prices, particularly with respect to hosting and e-discovery services.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success of our Technology segment and its ability to compete depends significantly on our ability to safeguard client data. There is no assurance that we will not incur losses related to cyber incidents or malicious data breaches from external or internal sources in the future.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Technology segment also relies on the IP rights we license from third parties. There is no assurance that (i) the software we license to provide our services will remain competitive or technologically innovative, (ii) new, innovative or improved software or products will not be developed by others that will compete more effectively with the software or products we currently license or use to service our customers, or (iii) we can enter into licenses or other agreements on economically advantageous terms to utilize new or more innovative third-party software and products to provide our services. If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Technology segment is unable to license or otherwise use competitively innovative or technologically advanced software and products to provide our services, we could be unable to retain clients, grow our business and capitalize on market opportunities, which would adversely affect our operating margins and financial results, competitive position and reputation.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face certain risks relating to cybersecurity and the failure to protect the confidentiality of our or our client’s information against misuse or disclosure. </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Maintaining the confidentiality of proprietary, confidential and trade secret information is critical to maintaining the trust of our clients, the success of our segments and the reputation of our company. In addition, our Technology segment is dependent on providing secure storage of, and access to, client information as a service. Our systems, which include those of third parties on whom we rely, may fail or not operate properly or become disabled as a result of network security failures. </w:t>
      </w:r>
      <w:r>
        <w:rPr>
          <w:rFonts w:ascii="Times New Roman;serif" w:hAnsi="Times New Roman;serif"/>
          <w:b w:val="false"/>
          <w:color w:val="333333"/>
          <w:sz w:val="20"/>
        </w:rPr>
        <w:t>We are subject to and</w:t>
      </w:r>
      <w:r>
        <w:rPr>
          <w:color w:val="000000"/>
        </w:rPr>
        <w:t xml:space="preserve"> </w:t>
      </w:r>
      <w:r>
        <w:rPr>
          <w:rFonts w:ascii="Times New Roman;serif" w:hAnsi="Times New Roman;serif"/>
          <w:b w:val="false"/>
          <w:color w:val="000000"/>
          <w:sz w:val="20"/>
        </w:rPr>
        <w:t>routinely face cyber-based attacks and attempts by hackers and similar unauthorized users to gain access to or corrupt our information technology systems.</w:t>
      </w:r>
      <w:r>
        <w:rPr>
          <w:color w:val="333333"/>
        </w:rPr>
        <w:t xml:space="preserve"> </w:t>
      </w:r>
      <w:r>
        <w:rPr>
          <w:rFonts w:ascii="Times New Roman;serif" w:hAnsi="Times New Roman;serif"/>
          <w:b w:val="false"/>
          <w:color w:val="000000"/>
          <w:sz w:val="20"/>
        </w:rPr>
        <w:t>Such attacks, if successful, could harm our overall professional reputation, disrupt our business operations, cause us to incur unanticipated losses or expenses, and result in unauthorized disclosures of confidential or proprietary information. We expect to continue to face such attempts. Although we seek to prevent, detect and investigate these network security incidents and have taken steps to mitigate the likelihood of network security breaches, cyber-based attacks and other cyber events are evolving, unpredictable and increasing in sophistication, including through the use of increasingly sophisticated and evolving AI technologies, and there can be no assurance that attacks by unauthorized users will not be attempted in the future or that our security measures will be effective. If we fail to effectively protect the confidentiality of our clients’ or our own IP and proprietary information from disclosure or misuse by our employees, contractors or third parties, the financial results of the affected segment or the Company and our reputation would be adversely affected. There is no certainty that we or third parties on whom we rely can maintain the confidentiality, prevent the misuse of our own or our clients’ information or mitigate related damages. As of December 31, 2025, we are not aware of any risks from cybersecurity threats, including as a result of any previous cybersecurity incidents, that have materially affected us, including our business strategy, results of operations or financial condition, or that we believe are reasonably likely to have such an effect over the long term.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manage our growth effectively, and our profitability may suffer.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experience fluctuations in growth of our different segments, practices and services, including periods of rapid or declining growth. Periods of rapid expansion may strain our management team or human resources and information systems. To manage growth successfully, we may need to add qualified managers and employees and periodically update our operating, financial and other systems, as well as our internal procedures and controls. We also must effectively motivate, train and manage a larger professional staff. If we fail to add or retain qualified managers, employees and contractors when needed, estimate costs, or otherwise manage our growth effectively, our business, financial results and financial condition may suffer.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assure that we can successfully manage growth through acquisitions and the integration of the companies and assets we acquire or that they will result in the financial, operational and other benefits that we anticipate. Some acquisitions may not be immediately accretive to earnings, and some expansion may result in significant expenditures.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periods of declining growth, underutilized employees and contractors may result in expenses and costs being a greater percentage of revenues. In such situations, we will have to weigh the benefits of decreasing our workforce or limiting our service offerings and saving costs against the detriment that the Company could experience from losing valued professionals and their industry expertise and clients.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operations involve financial and business risks that differ among the U.S. and foreign jurisdictions.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involve financial and business risks that differ among the U.S. and the different foreign jurisdictions in which we operate including: (i) cultural and language differences; (ii) various levels of FTI Consulting “brand” recognition; (iii) different employment laws and rules, employment or service contracts, compensation methods, and social and cultural factors that could result in employee turnover, lower utilization rates, higher costs and cyclical fluctuations in utilization that could adversely affect financial and operating results; (iv) foreign currency disruptions and currency fluctuations between the U.S. dollar and foreign currencies that could adversely affect financial and operating results; (v) differing legal and regulatory requirements and other barriers to conducting business; (vi) difficulties resolving the collection of receivables when legal proceedings are necessary; (vii) difficulties in managing our non-U.S. operations, including client relationships, in certain locations; (viii) disparate systems, policies, procedures and processes; (ix) failure to comply with the Foreign Corrupt Practices Act and anti-bribery laws of other jurisdictions; (x) higher operating costs; (xi) longer sales and/or collections cycles; (xii) potential restrictions or adverse tax consequences resulting from the repatriation of foreign earnings, such as trapped foreign losses and importation or withholding taxes; (xiii) different or less stable political and/or economic environments; (xiv) wars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other geopolitical conflicts; (xv) conflicts between and among the U.S. and countries in which we conduct business, including those arising from trade disputes or disruptions, the termination or suspension of treaties, or boycotts; (xvi) civil disturbances or other catastrophic events that reduce business activity; (xvii) political interference with our ability to conduct business in the applicable jurisdiction; (xviii) impact of public health crises, including varying governmental responses and requirements, client impacts and travel restrictions; (xix) failure to meet evolving governmental or client-related standards and requirements pertaining to sustainability and corporate responsibility-related issues; and (xx) physical risks associated with climate change, including rising temperatures, severe storms, energy disruptions, fires or wildfires, flooding and rising sea levels, among others.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not able to quickly adapt to or effectively manage our operations in the geographic markets in which we conduct business, our business prospects and results of operations could be negatively impacted.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comply with governmental, regulatory and legal requirements or with our Company-wide Code of Ethics and Business Conduct, Anti-Corruption Policy, Policy on Inside Information and Insider Trading, and other policies could lead to governmental or legal proceedings that could expose us to significant liabilities and damage our reputation.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 robust Code of Ethics and Business Conduct, Anti-Corruption Policy, Policy on Inside Information and Insider Trading, and other policies and procedures that are designed to educate and establish the standards of conduct that we expect from our executive officers, outside directors, employees, and independent consultants and contractors. These policies require strict compliance with U.S. and local laws and regulations applicable to our business operations, including those laws and regulations prohibiting improper payments to government officials. In addition, as a corporation whose securities are registered under the Securities Act and publicly traded on the NYSE, our executive officers, outside directors, employees and independent contractors are required to comply with the prohibitions against insider trading of our securities. In addition, we impose certain restrictions on the trading of securities of our clients. Nonetheless, we cannot assure our stakeholders that our policies, procedures and related training programs will ensure full compliance with all applicable legal requirements. Illegal or improper conduct by our executive officers, directors, employees, independent consultants or contractors, or others who are subject to our policies and procedures could damage our reputation in the U.S. and internationally, which could adversely affect our existing client relationships or adversely affect our ability to attract and retain new clients, or lead to litigation or governmental or regulatory proceedings in the U.S. or foreign jurisdictions, which could result in civil or criminal penalties, including substantial monetary awards, fines and penalties, as well as disgorgement of profits.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Governmental focus on data privacy and security has increased, and could continue to increase, our costs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reaction to publicized incidents in which electronically stored personal and other information has been lost, accessed or stolen, or transmitted by or to third parties without permission, U.S. and non-U.S. governmental authorities have proposed or adopted or are considering proposing or adopting data security and/or data privacy statutes or regulations, including the California Consumer Privacy Act as amended by the California Privacy Rights Act of 2020, and the General Data Protection Regulation of the European Union. Continued governmental focus and regulation of data security and privacy may lead to additional legislative and regulatory actions, which could increase the complexity of doing business in the U.S. or the applicable jurisdiction. The increased emphasis on information security and the requirements to comply with applicable U.S. and foreign data security and privacy laws and regulations has increased, and is expected to continue to increase, our related costs of doing business and could negatively impact our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Changes to corporate income tax rates, legislation, rules and regulations and tax treaties in countries in which we operate may negatively impact our effective tax rate and financial results and increase our cash tax payment obligations.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to corporate income tax laws and rules and regulations and tax treaties in jurisdictions where we pay taxes that increase rates, eliminate or reduce deductions or affect the utility or value of deferred tax assets or liabilities could negatively affect our reported financial results and increase our cash tax payment obligations. For example, to the extent the expansion of Section 162(m) of the U.S. Internal Revenue Code, which will become effective for the Company’s year ending December 31, 2027, reduces the amount of tax deductions available to us, our income tax expense would increase, which would reduce our net income.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required to recognize goodwill impairment charges, which could materially affect our financial results.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assess our goodwill and related intangible assets as required by Generally Accepted Accounting Principles in the U.S. to determine whether they are impaired and, if they are, to record appropriate impairment charges. Factors we consider include significant underperformance relative to expected historical or projected future operating results and significant negative industry or economic trends. We have previously recorded impairment charges to the carrying value of goodwill of certain segments and it is possible that we may be required to record significant impairment charges in the future. Such charges have had and could have a material adverse impact on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exposed to certain physical and regulatory risks related to climate change, which could adversely affect our business, financial condition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Due to the global nature of our business, we are exposed to a variety of physical risks that may be exacerbated by climate change, including extreme temperatures, severe storms, energy disruptions, fires or wildfires, floods and rising sea levels, among others, all of which are beyond our control. There has also been increased regulation as well as focus from governmental organizations, and our investors, clients and employees, as well as other stakeholders and the media (including social media), on environmental- and sustainability-related issues. Governments and regulators in the U.S. and around the world have been enacting or revising laws and regulations regarding these issues and their priorities or requirements may not be reconcilable. The threats from environmental events could adversely impact our ability to maintain business continuity, and could impair access to our leased office space in affected geographies and the integrity of our information technology systems. Further, compliance with the disparate climate-related frameworks, including requirements related to greenhouse gas emissions and climate change by federal, state, local and foreign legislatures and governmental agencies could cause us to incur operational and other costs to comply, and penalties if we fail to do so.</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Increasing scrutiny and changing expectations from governmental organizations, investors, clients and our colleagues with respect to our social-related practices and those of our clients may impose additional costs on us or expose us to new or additional risks, including reputational harm.</w:t>
      </w:r>
    </w:p>
    <w:p>
      <w:pPr>
        <w:pStyle w:val="TextBody"/>
        <w:bidi w:val="0"/>
        <w:spacing w:lineRule="auto" w:line="288" w:before="0" w:after="180"/>
        <w:ind w:left="0" w:right="0" w:firstLine="540"/>
        <w:jc w:val="left"/>
        <w:rPr>
          <w:rFonts w:ascii="Times New Roman;serif" w:hAnsi="Times New Roman;serif"/>
          <w:b w:val="false"/>
          <w:color w:val="212529"/>
          <w:sz w:val="20"/>
        </w:rPr>
      </w:pPr>
      <w:r>
        <w:rPr>
          <w:rFonts w:ascii="Times New Roman;serif" w:hAnsi="Times New Roman;serif"/>
          <w:b w:val="false"/>
          <w:color w:val="212529"/>
          <w:sz w:val="20"/>
        </w:rPr>
        <w:t>Differing (and often conflicting) perceptions, attitudes or legal pronouncements regarding the consideration of social-related characteristics based on race, gender, sexual orientation and other attributes are complicating our ability to attract and maintain an inclusive workforce and comply with disparate U.S. federal and state and foreign legislative and court decisions. Some U.S. states, recent U.S. court decisions, the federal government and third-party activists are restricting or otherwise attempting to influence how we make and manage recruiting, hiring and other employment decisions. This contrasts with regulations being adopted by certain foreign jurisdictions in which we operate, the demands of many of our investors and other stakeholders, as well as third-party proxy and other advisory firms who provide information to investors on corporate governance and related matters, who encourage or demand heightened consideration of diversity-related factors, including the reporting of characteristics of our employee populations, as well as reporting of our recruitment, hiring and other employment processes. Consequently, our employment processes, human capital management, risk management and reporting functions have become more complicated. Any failure to comply with U.S. federal and state and international laws and regulations or court decisions, or to meet the evolving and disparate expectations of our investors, other stakeholders and interested parties, and the media (including social media), could result in legal or regulatory proceedings against us, increased adverse public scrutiny, client dissatisfaction, reputational harm, employee disenfranchisement, increased employee turnover and other challenges in retaining, recruiting and hiring employees, which may give rise to damages or penalties, and materially adversely affect our business, financial results and stock performance.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business depends on our ability to use and access information systems, and modernize or replace such systems from time to time, and failure to effectively maintain such systems or modernize or replace systems could materially adversely affect our business and operations and harm our reputation. </w:t>
      </w:r>
    </w:p>
    <w:p>
      <w:pPr>
        <w:pStyle w:val="TextBody"/>
        <w:bidi w:val="0"/>
        <w:spacing w:lineRule="auto" w:line="288" w:before="0" w:after="180"/>
        <w:ind w:left="0" w:right="0" w:firstLine="540"/>
        <w:jc w:val="left"/>
        <w:rPr>
          <w:rFonts w:ascii="Times New Roman;serif" w:hAnsi="Times New Roman;serif"/>
          <w:b w:val="false"/>
          <w:color w:val="212529"/>
          <w:sz w:val="20"/>
        </w:rPr>
      </w:pPr>
      <w:r>
        <w:rPr>
          <w:rFonts w:ascii="Times New Roman;serif" w:hAnsi="Times New Roman;serif"/>
          <w:b w:val="false"/>
          <w:color w:val="212529"/>
          <w:sz w:val="20"/>
        </w:rPr>
        <w:t xml:space="preserve">We depend on multiple information systems, including our enterprise resource planning system, for operating our business and internal controls. We utilize commercially available third-party technology solutions, which in many cases are customized to our business needs. Our information systems may be compromised by power outages, computer and telecommunications failures, computer viruses, security breaches, hackers, catastrophic events, human error and other events, many of which are beyond our control, and are subject to obsolescence and technological changes. Delays in implementing our information systems, upgrading such systems or failure of such systems to work properly or if any of them should become unavailable, could require us to expend substantial time, effort and costs to adjust our processes, implement changes or corrections, or repair or replace such systems, to carry out our operations, including preparation of our financial statements and to maintain the effectiveness of our internal controls. Failure, delays or compromise of any such information system or material functions, could harm our reputation or our clients, and expose us to claims that could adversely affect our business and results.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compromise of confidential or proprietary information could damage our reputation, harm our businesses and adversely impact our financial results.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own confidential and proprietary information and that of our clients or vendors could be compromised, whether intentionally or unintentionally, by our employees, consultants, contractors or vendors. In addition, physical risks associated with climate change, including energy disruptions, flooding, fires or wildfires, and other events, may adversely impact the integrity of our information technology systems. Any significant compromise of the security of our information technology systems leading to theft or misuse of our own or our clients’ proprietary or confidential information, or the public disclosure or use of such information by others, could result in losses, damages or penalties, third-party claims, reputational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harm and the loss of clients and other adverse business consequences, which could negatively impact our financial results or financial condition.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the use or misuse of social media by employees or others could reflect negatively on us or our clients and could have a material adverse effect on our business, financial condition and results of operations. The available legal remedies for the use or misuse of social media may not adequately compensate us for the damages caused by such use or misuse and consequences arising from such actions.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People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failure to recruit and retain qualified professionals and manage headcount needs and utilization could negatively affect our financial results and our ability to staff client engagements, maintain relationships with clients and drive future growth.</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deliver sophisticated professional services to our clients. Our success and future growth are dependent, in large part, on our ability to keep our supply of skills and human resources in balance with client demand around the world. To attract and retain clients, we need to demonstrate professional acumen and build trust and strong relationships. Our professionals have highly specialized skills. They also develop strong bonds with the clients they serve, which is a critical element in obtaining and maintaining client engagements. Our continued success depends upon our ability to attract and retain professionals who have expertise, good reputations and client relationships critical to maintaining and developing our business. We face intense competition in recruiting and retaining highly qualified professionals to drive our organic growth and support expansion of our services and geographic footprint. We incur significant expenses, time and resources to train, integrate and develop our professionals. We experience attrition of highly qualified professionals in the normal course of our business. We cannot assure that we will be able to attract or retain any particular qualified professionals or replace those that choose to leave us, or maintain or expand our business. If we are unable to successfully integrate, motivate, retain or replace qualified professionals, our ability to continue to secure or perform work may suffer. Competition and third-party recruiting efforts targeting professionals with expertise relevant to our business have accelerated and have caused our costs of retaining and hiring qualified professionals to increase. That is a trend that we see continuing and that has contributed to and in the future is likely to continue to contribute to increased costs of operations and, in some cases, lower operating margins. In addition, the departure of one professional may lead to the departure of other professionals who have worked together here and desire to continue to work together elsewhere.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Despite fixed terms or renewal provisions, we face retention issues during and at the end of the terms of those agreements and large compensation expenses to secure extensions. There is no assurance we will be able to enter into new or extend existing employment agreements with professionals subject to written employment agreements. We monitor contract expirations carefully to commence dialogues with professionals regarding their employment in advance of the actual contract expiration dates. Our goal is to renew employment agreements when advisable and to stagger the expirations of the agreements if possible. Because of the concentration of contract expirations in certain years, we may experience high turnover or other adverse consequences, such as higher costs, loss of clients and engagements or difficulty in staffing engagements, if we are unable to renegotiate employment agreements or the costs of retaining qualified professionals become too high. The implementation of new compensation arrangements may result in the concentration of potential turnover in future years.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people are our primary assets and account for the majority of our expenses. During periods of reduced demand for our services, or in response to unfavorable changes in market or industry conditions, we may seek to align our cost structure more closely with our revenues and increase our utilization rates by reducing headcount and eliminating or consolidating underused locations in affected reportable segments or practices. Following such actions, in response to subsequent increases in demand for our services, including as a result of favorable changes in market or industry conditions, we may need to hire, train and integrate additional qualified and skilled personnel and may be unable to do so to meet our needs or our clients’ demands on a timely basis. If we are unable to manage staffing levels on a timely basis in light of changing opportunities or conditions, our ability to accept or service business opportunities and client engagements, take advantage of positive market and industry developments, and realize future growth could be negatively affected, which could negatively impact our revenues and profitability. In addition, while increased utilization resulting from headcount reductions may enhance our profitability in the near term, it could negatively affect our business over the longer term by limiting the time our professionals have to seek out and cultivate new client relationships and win new projects.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incur substantial costs to hire and retain our professionals, and we expect these costs to continue and to grow.</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pay hiring or retention bonuses to secure the services of professionals and maintain incentive compensation programs for their benefit. Payments have taken the form of unsecured general recourse forgivable loans, stock options, restricted stock, cash-based stock appreciation rights and other equity- and cash-based awards, and cash payments to attract and retain our professional employees. We may provide forgivable or other types of loans under our incentive compensation programs, or to new hires and professionals who join us in connection with acquisitions, as well as to select current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other professionals on a case-by-case basis. The aggregate amount of loans to professionals is significant. We expect to continue issuing unsecured general recourse forgivable loans.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Economic Consulting segment has contracts with select economists or professionals that provide for compensation equal to a percentage of such individual’s annual collected client fees plus a percentage of the annual fees generated by junior professionals working on engagements managed by such professionals, which results in compensation expenses for that segment being a higher percentage of segment revenues and Adjusted Segment EBITDA than the compensation paid by other segments. We expect that these arrangements will continue, and the Company has and will continue to enter into similar arrangements with other economists and professionals hired by the Company.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some cases, however, we have been, and in the future expect that we will continue to be, unsuccessful in reaching agreement on compensation or other key employment terms with certain highly qualified professionals who then choose to leave the Company. Such professionals will often pursue other business and professional opportunities and may compete with the Company for clients and/or employees. These situations have increased, and we expect that they will continue in the future to increase, our costs to retain other professionals at the Company and impact our ability to retain existing clients and win new engagements.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heavily on our executive officers and the heads of our segments and industry and regional leaders for the success of our business, the loss of whom may negatively impact our business and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heavily on our executive officers and our segment, industry and regional leaders to manage our operations. Given the highly specialized nature of our services and the scale of our operations, our executive officers and the heads of our segments and industry and regional leaders must have a thorough understanding of our service offerings, as well as the skills and experience necessary to manage a large organization in diverse geographic locations. We are unable to predict with certainty the impact that leadership transitions and the loss of certain employees in leadership roles may have on our business operations, prospects, financial results, client relationships, or employee retention or morale. If one or more of our leaders leave and cannot be replaced with a suitable candidate quickly, we could experience difficulty in securing and successfully completing engagements and managing our operations, which could harm our business, prospects and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Professionals may leave our Company to form or join competitors or clients, and the loss of such professionals may negatively impact our business and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professionals typically have close relationships with the clients they serve, based on their expertise and bonds of personal trust and confidence. Therefore, the barriers to our professionals pursuing independent business opportunities or joining our competitors or clients are low. Although our clients generally contract for services with us as a company, and not with an individual, in the event that a professional leaves, such clients may decide that they prefer to continue working with a specific professional rather than with our Company. This has occurred in the past, and we expect that it will continue to occur from time to time in the future.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have, or may choose not to pursue, legal recourse against professionals that leave our Company to join competitors or clients.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our written employment agreements with our Senior Managing Directors and equivalent employees may include non-competition and non-solicitation clauses, such clauses may offer us only limited or no protections and may be unenforceable in one or more jurisdictions. Further, in certain jurisdictions, non-competition clauses have been abolished or banned. These restrictions on our ability to adopt or enforce non-competition and non-solicitation clauses may increase turnover and compensation costs to hire and retain professionals, and may adversely impact our ability to hire, maintain and increase headcount, and our ability to service and keep our clients and secure engagements.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When inclusion of a non-competition clause is appropriate, we have generally drafted the restrictions to seek to comply with applicable state law, including “reasonableness” standards regarding scope and duration. However, changes in state laws and rules and new court decisions can raise questions about the enforceability of contractual restrictions that, when originally agreed, appeared to be enforceable. In the case of employees outside the U.S., we draft non-competition provisions in an effort to comply with applicable foreign law. In the event an employee departs and acts in a way that we believe violates an applicable non-competition or non-solicitation agreement, we will consider any available legal remedies we may have against such person on a case-by-case basis. We may decide that preserving cooperation and a professional relationship with a former employee or client, or other concerns, outweigh the potential benefits of litigation or other options to seek legal or equitable remedies. We may also decide that the likelihood of success does not justify the costs of pursuing a claim. Accordingly, there may be times we may decide not to pursue legal action, even if it is available. If we do decide to pursue legal action, we will incur additional costs as a result of such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failure to achieve and maintain an inclusive workforce may impair our ability to attract and retain qualified employees, win and maintain clients, or attract investment, which could have a material adverse effect on our business and financial results, as well as reputational harm.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global company, our talent and retention initiatives are designed to create an inclusive workforce. We believe that a workforce that reflects the myriad identities of our clients and vendors with whom we do business, our stakeholders and the populations of the regions in which we have operations results in best in class advice to our clients, improves the quality of our services, promotes employee satisfaction and retention, and increases the overall value of our business. We promote inclusion through education, training and development opportunities. Failure to maintain an inclusive workforce may adversely affect our 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Client Relationships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Damage to our reputation could result in material adverse consequences to our business and adversely impact our client engagements and financial results.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Damage to our reputation or the reputations of key members of our workforce could materially and adversely affect our business and operations in many possible ways, including among, other things: (i) difficulty retaining clients or securing client referrals or new clients; (ii) adverse publicity and public comments; (iii) activist social media and other campaigns targeting our or our clients’ businesses and activities; (iv) increased employee turnover or difficulty recruiting and hiring staff; and (v) public scrutiny. Given the frequently high-profile nature of the matters we work on, any factor that diminishes our reputation or the reputation of any of our professionals could put us at a competitive disadvantage and adversely affect our business, prospects and financial results.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accept or continue client engagements due to real or perceived relationship issues, our revenues, growth, client engagements and prospects may be negatively affected.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decide that we cannot or should not accept an engagement from an existing or prospective client or represent multiple clients in connection with the same or competitive engagements. In addition, on occasion, we may decide that we should or must resign from a client engagement. Such decisions may negatively impact our revenues, growth and financial results. While we follow internal practices to assess real and potential issues in the relationships between and among our clients, engagements, segments, practices and professionals, such concerns cannot always be avoided. For example, we generally will not represent parties adverse to each other in the same matter. Under U.S. federal bankruptcy rules, we generally may not represent both a debtor and its creditors in the same proceeding, and we are required to notify the U.S. Trustee of real or potential conflicts. Even if we begin a bankruptcy-related engagement, the U.S. Trustee could find that we no longer meet the disinterestedness standard because of real or potential changes in our status as a disinterested party and order us to resign, which could result in disgorgement of fees. Future acquisitions may require us to resign from a client engagement because of relationship issues that are not currently identifiable. In addition, businesses that we acquire or employees who join us may not be free to accept engagements they could have accepted prior to our acquisition or hire because of relationship issues.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Claims involving our services or adverse publicity could harm our overall professional reputation and our ability to compete and attract business or hire or retain qualified professionals.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engagements involve matters that may result in a severe impact on a client’s business, cause the client a substantial monetary loss or prevent the client from pursuing business opportunities. Our ability to attract new clients and generate new and repeat engagements or hire professionals depends upon our ability to maintain a high degree of client satisfaction, as well as our reputation among industry professionals. As a result, any claims against us involving the quality of our services may be more damaging than similar claims against businesses in other industries.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accept clients or perform engagements that may be viewed as controversial or that generate adverse publicity relating to our involvement or the services that we provide, including work we do for clients in high emissions industries. Such controversial engagements or negative reactions may adversely affect our reputation or the reputations of our employees and other professionals who provide services, or may otherwise harm our ability to attract or retain clients, employees and other professionals, all of which could have an adverse effect on our results of operations, business or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incur significant costs and may lose engagements as a result of claims by our clients regarding our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engagements involve complex analysis and the exercise of professional judgment, including litigation and governmental investigatory matters where we act as experts. Therefore, we are subject to the risk of professional and other liabilities. Although we believe we maintain an appropriate amount of insurance, it is limited. Damages and/or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resulting from any successful claim against us, for indemnity or otherwise, in excess of the amount of insurance coverage will be borne directly by us and could harm our profitability and financial resources. Any claim by a client or third-party against us could expose us to reputational issues that adversely affect our ability to attract new or maintain existing engagements or clients or qualified professionals or other employees, consultants or contractors.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clients may terminate our engagements with little or no notice and without penalty, which may result in unexpected declines in our utilization and revenues.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engagements center on transactions, disputes, litigation and other event-driven occurrences that require independent analysis or expert services. Transactions may be postponed or canceled, litigation may be settled or dismissed, and disputes may be resolved, in each case with little or no prior notice to us. If we cannot manage our work in process, our professionals may be underutilized until we can reassign them or obtain new engagements, which can adversely affect financial results.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engagement letters that we typically enter into with clients do not obligate them to continue to use our services. Typically, our engagement letters permit clients to terminate our services at any time without penalty. In addition, our business involves large client engagements that we staff with a substantial number of professionals. At any time, one or more client engagements may represent a significant portion of a segment’s revenues. If we are unable to replace clients or revenues as engagements end or if clients unexpectedly cancel engagements with us or curtail the scope of our engagements and we are unable to replace the revenues from those engagements, eliminate the costs associated with those engagements or find other engagements to utilize our professionals, the financial results of the Company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have, or may choose not to pursue, legal remedies against clients that terminate their engagements.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engagement letters that we typically have with clients do not obligate them to continue to use our services and permit them to terminate the engagement without penalty at any time. Even if the termination of an ongoing engagement by a client could constitute a breach of the client’s engagement agreement, we may decide that preserving the overall client relationship is more important than seeking damages for the breach and, for that or other reasons, decide not to pursue any legal remedies against a client, even though such remedies may be available to us. We make the determination whether to pursue any legal actions against a client on a case-by-case basis.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Competition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compete effectively, we may miss business opportunities or lose existing clients, and our revenues and profitability may decline.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for some of our consulting services is highly competitive. We do not compete against the same companies across all of our segments, practices, services, industries or geographic regions. Instead, we compete with different companies or businesses of companies depending on the particular nature of a proposed engagement and the types of requested service(s) and the location of the client or delivery of the service(s). Our operations are highly competitive.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competitors include large organizations, such as the global accounting firms and the large management and financial consulting companies that offer a broad range of consulting services; investment banking firms; IT consulting and software companies, which offer niche services that are the same or similar to services or products offered by one or more of our segments; and small firms and independent contractors that focus on specialized services. Some of our competitors have significantly more financial resources, a larger national or international presence, larger professional staffs and greater brand recognition than we do. Some have lower overhead and other costs and can compete through lower cost service offerings.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Since our business depends in large part on professional relationships, our business has low barriers to entry for professionals electing to start their own firms or work independently. In addition, it is relatively easy for professionals to change employers.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cannot compete effectively or if the costs of competing, including the costs of hiring and retaining professionals, become too expensive, our revenue growth and financial results could be negatively affected and may differ materially from our expectations.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competitors may adopt and deploy new technologies, such as AI and machine learning, more rapidly or successfully than we do, which may materially adversely affect our competitive position, operations and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face competition from parties who sell us their businesses and from professionals who cease working for us.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acquisitions, we generally obtain non-solicitation agreements from the professionals we hire, as well as non-competition agreements from senior managers and professionals. The agreements prohibit such individuals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competing with us during the term of their employment and for a fixed period afterward and from seeking to solicit our employees or clients. In some cases, but not all, we may obtain non-competition or non-solicitation agreements from parties who sell us their businesses or assets. The duration of post-employment non-competition and non-solicitation agreements typically ranges from six to 12 months. Non-competition agreements with the sellers of businesses or assets that we acquire typically continue longer than 12 months. Certain activities may be carved out of, or otherwise may not be prohibited by, these arrangements. We cannot assure that one or more of the parties from whom we acquire a business or assets, or who do not join us or leave our employment, will not compete with us or solicit our employees or clients in the future. States and foreign jurisdictions may interpret restrictions on competition narrowly and in favor of employees or sellers. Therefore, certain restrictions on competition or solicitation may be unenforceable. In addition, we may not pursue legal remedies if we determine that preserving cooperation and a professional relationship with a former employee or his or her clients, or other concerns, outweighs the benefits of any possible legal recourse or the likelihood of success does not justify the costs of pursuing a legal remedy. Such persons, because they have worked for our Company or a business that we acquire, may be able to compete more effectively with us, or be more successful in soliciting our employees and clients, than unaffiliated third parties.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Acquisitions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have difficulty integrating acquisitions or convincing clients to allow assignment of their engagements to us, which can increase costs of, and reduce the benefits we receive from, acquisitions.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process of managing and integrating acquisitions into our existing operations may result in unforeseen operating difficulties and may require significant financial, operational and managerial resources that would otherwise be available for the operation, development and organic expansion of our existing operations. To the extent that we misjudge our ability to effectively manage and integrate acquisitions, we may have difficulty achieving our operating, strategic and financial objectives.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Acquisitions also may involve a number of special financial, business and operational risks, such as: (i) difficulties in integrating differing corporate cultures and management styles; (ii) disparate policies and practices; (iii) client relationship issues; (iv) decreased utilization during the integration process; (v) loss of key existing or acquired personnel; (vi) increased costs to improve or coordinate managerial, operational, financial and administrative systems; (vii) dilutive issuances of equity securities, including convertible debt securities, to finance acquisitions; (viii) the assumption of legal liabilities; (ix) future earn-out payments or other price adjustments; (x) potential future write-offs relating to the impairment of goodwill or other acquired intangible assets or the revaluation of assets; (xi) difficulty or inability to collect receivables; and (xii) undisclosed liabilities.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 integration challenges mentioned above, our acquisitions of non-U.S. companies offer distinct integration challenges relating to foreign laws and governmental regulations, including tax and employee benefit laws, and other factors relating to operating in countries other than the U.S., which we have addressed above in the discussion regarding the difficulties we may face operating globally.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Asset transactions may require us to seek client consents to the assignment of their engagements to us or a subsidiary. All clients may not consent to assignments. In certain cases, such as government contracts and bankruptcy engagements, the consent of clients cannot be solicited until after the acquisition has closed. Further, such engagements may be subject to security clearance requirements or bidding provisions with which we might not be able to comply. There is no assurance that clients of the acquired entity or local, state, federal or foreign governments will agree to novate or assign their contracts to us.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may also hire groups of selected professionals from another company. In such event, there may be restrictions on the ability of the professionals who join the Company to compete and work on client engagements. In addition, the Company may enter into arrangements with the former employers of those professionals regarding limitations on their work until any time restrictions pass. In such circumstances, there is no assurance that the Company will enter into mutually agreeable arrangements with any former employer, and the utilization of such professionals may be limited, and our financial results could be negatively affected until their restrictions end. The Company could also face litigation risks from group hires. Risks relating to claims or litigation relating to breach of applicable restrictive covenants by such new hires may result in the Company being subject to monetary damages, which could be significant, and could delay or restrict the ability of such new hires to provide services as employees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have different systems of governance and management from a company we acquire or its parent, which could cause professionals who join us from an acquired company to leave us.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governance and management policies and practices will not mirror the policies and practices of an acquired company or its parent. In some cases, different management practices and policies may lead to workplace dissatisfaction on the part of professionals who join our Company following an acquisition. Some professionals of an acquired company may choose not to join our Company or leave after joining us. Existing professionals may leave us as well. The loss of key professionals may harm our business and financial results and cause us not to realize the anticipated benefits of the acquisition.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leverage could adversely affect our financial condition or operating flexibility if the Company fails to comply with operating covenants under applicable debt instruments.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senior unsecured bank revolving credit facility (“Credit Facility”), or our other indebtedness outstanding from time to time, contains or may contain operating covenants that may, subject to exceptions, limit our ability and the ability of our subsidiaries to, among other things: (i) create, incur or assume certain liens; (ii) make certain restricted payments, investments and loans; (iii) create, incur or assume additional indebtedness or guarantees; (iv) create restrictions on the payment of dividends or other distributions to us from our restricted subsidiaries; (v) engage in M&amp;A transactions, consolidations, sale-leasebacks, joint ventures, and asset and security sales and dispositions; (vi) pay dividends or redeem or repurchase our capital stock; (vii) alter the business that we and our subsidiaries conduct; (viii) engage in certain transactions with affiliates; (ix) modify the terms of certain indebtedness; (x) prepay, redeem or purchase certain indebtedness; and (xi) make material changes to accounting and reporting practices.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Credit Facility includes a financial covenant that requires us not to exceed a maximum consolidated total net leverage ratio (the ratio of funded debt (less unrestricted cash up to $300.0 million) to Consolidated EBITDA, as defined in the Credit Facility).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Operating results below a certain level or other adverse factors, including a significant increase in interest rates, could result in us being unable to comply with certain covenants. Additionally, failure to attain or maintain certain credit ratings could result in our being required to secure the Credit Facility by the assets of substantially all of our wholly-owned U.S. subsidiaries. rIf we violate any applicable covenants and are unable to obtain waivers, our agreements governing our indebtedness or other applicable agreement could be declared in default and could be accelerated, which could permit, in the case of secured debt, the lenders to foreclose on our assets securing the debt thereunder.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financial results or financial condition could be materially and adversely affected. In addition, complying with these covenants may cause us to take actions that are not favorable to holders of our outstanding indebtedness and may make it more difficult for us to successfully execute our business strategy and compete against companies that are not subject to such restrictions.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subsidiaries may incur significant additional indebtedness.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and our subsidiaries may incur substantial additional indebtedness, including additional secured indebtedness, in the future. The terms of the agreements governing our Credit Facility and other indebtedness limit, but do not prohibit, us from incurring additional indebtedness.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incur additional indebtedness may have the effect of reducing the funds available to pay amounts due with respect to our indebtedness. If we incur new indebtedness or other liabilities, the related risks that we and our subsidiaries may face could intensify.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unable to generate sufficient cash to service our indebtedness, and we may be forced to take actions to satisfy our payment obligations under our indebtedness, which may not be successful.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make scheduled payments on or to refinance our indebtedness depends on our future performance, including the performance of our subsidiaries, which will be affected by financial, business and economic conditions, competition and other factors. We will not be able to control many of these factors, such as the general economy, economic conditions in the industries in which we operate and competitive pressures. Our cash flows may not be sufficient to allow us to pay principal and interest on our indebtedness and to meet our other obligations. 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successful and may not permit us to meet our scheduled debt service obligations. In addition, the terms of existing or future debt agreements, including our Credit Facility, may restrict us from pursuing any of these alternatives.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event that we need to refinance all or a portion of our outstanding indebtedness before maturity or as it matures, we may not be able to obtain terms as favorable as the terms of our existing indebtedness or refinance our existing indebtedness at all. If interest rates or other factors existing at the time of refinancing result in higher interest rates upon refinancing, we will incur higher interest expense. Furthermore, if any rating agency changes our credit rating or outlook, our debt and equity securities could be negatively affected, which could adversely affect our financial condition and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Credit Facility is guaranteed by substantially all of our wholly-owned domestic subsidiaries and will be required to be guaranteed by future wholly-owned domestic subsidiaries, including those that join us in connection with acquisitions.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Substantially all of our wholly-owned U.S. subsidiaries guarantee our obligations under our Credit Facility. Future wholly-owned U.S. subsidiaries, subject to certain exclusions, will be required to provide similar guarantees. If we default on any guaranteed indebtedness, our U.S. subsidiaries that are guarantors could be required to make payments under their guarantees, which could materially adversely affect our business and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variable rate indebtedness subjects us to interest rate risk, which could cause our annual debt service obligations to increase significantly.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Borrowings under our Credit Facility bear variable rates of interest, including for U.S. Dollar borrowings at the Secured Overnight Financing Rate and, for borrowings in British Pounds, the Sterling Overnight Index Average, which expose us to interest rate risk. If interest rates increase, our debt service obligations on the variable rate indebtedness would increase even though the amount borrowed remained the same, and our cash flows could be adversely affected. An increase in debt service obligations under our variable rate indebtedness could affect our ability to make payments required under the terms of the agreements governing our indebtedness or our other indebtedness outstanding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operate our segments and their practices through FTI Consulting and its subsidiaries in 32 countries with different business, client, and geographic cybersecurity risk profiles. We aim to proactively identify and assess our vulnerability to cybersecurity threats and actual cybersecurity incidents on an ongoing basis at both the enterprise level, as well as at a more operational level, differentiating unique risks related to our segments, practices, clients, employees, and the locations in which business is conducted. Our Information Technology Group (“ITG”) helps monitor and analyze cybersecurity incidents and risks and our progress mitigating and resolving such threats. This information is regularly discussed with our outside directors and executive management.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Approach and Integration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Cybersecurity risk is integrated and managed as part of our broader enterprise risk management program under the direction of our Vice President – Chief Risk and Compliance Officer – who works closely with our Chief Information Officer and others, including the Head of our Cybersecurity &amp; Privacy division to help identify, review, assess and address cybersecurity and other security risks. Our Chief Risk and Compliance Officer, Chief Information Officer and the Head of our Cybersecurity &amp; Privacy division are members of the Company’s cybersecurity response team (the “Cyber Response Team”). The Cyber Response Team’s responsibilities include maintaining a Cybersecurity Incident Response Plan, which sets out a path for how cyber threats and incidents are identified and escalated up to and including the Board of Directors and other leadership, when appropriate. Direct threats are escalated promptly to the appropriate team, following a path that considers both the nature of the threat, the level of risk, and the degree to which it has been substantiated. Indirect threats, such as third-party incidents, are escalated through the ITG to the appropriate corporate functions, as the situation warrants.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Third-Party Engagement and Oversight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Where appropriate, we engage third-party vendors to provide cybersecurity-related services, including security monitoring, risk assessments, penetration testing, audit support and incident response services. Vendors are selected through due diligence processes appropriate to the nature of the services provided, and we enter into written agreements that include provisions addressing data security, confidentiality, privacy and incident notification.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conduct vendor oversight activities based on the nature of the services and associated risks, which may include performance discussions, issue management and remediation follow-up, as appropriate.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Vendor Code of Conduct (“VCC”) establishes expectations related to ethical conduct and data protection. As part of applicable vendor onboarding processes, vendors are required to acknowledge and agree to comply with the VCC or to provide an alternative code of conduct that demonstrates comparable standards. For vendor engagements involving access to information systems, confidential information or physical security considerations, appropriate cross-functional stakeholders participate in risk and compliance reviews during the procurement and contract review process prior to engagement. Our contracts for such vendors include provisions designed to safeguard company and client information and to define responsibilities in the event of a security incident.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Incident Response Plan and Training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the detection of a potentially significant cybersecurity incident or threat, an escalation of cybersecurity threat, or changes with respect to a current incident, the Company has processes in place to notify relevant employees who assist in the response, as well as third-party vendors. Our ITG and management, in consultation with the Company’s outside legal counsel and accountants, will assess materiality, informed by ongoing discussions about what criteria would constitute potential materiality considerations. The Audit Committee and necessary directors will be informed of all material events.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educate our management, employees, and consultants, and help mitigate the risk of human failure in exposing our Information Technology systems to cybersecurity threats from bad actors, our management, employees, and consultants are required to complete on-line cybersecurity training annually. We also provide regular reminders to employees regarding suspicious emails or other communications and conduct periodic phishing simulations and remedial spot testing and training to reinforce recognition and response techniques.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2025, we continued to review and refine our incident response procedures. We conducted technical tabletop exercises, simulating cybersecurity events and appropriate responses, with the senior leadership team of FTI Consulting, including an executive officer and an outside director, and provided regular quarterly updates to the Board of Directors on ongoing efforts to strengthen our security posture. We continue to communicate with the broader executive incident response team on updates to our incident response posture and any simulation training conducted on a periodic basis. The expanded incident response briefing schedule is also included in the annual Board of Directors briefing, and directors and certain officers of the Company have been and will continue to be given the opportunity to participate in simulation training. In addition, our outside directors are encouraged to attend continuing education relating to cybersecurity.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Materiality of Risks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and routinely face cyber-based attacks and attempts by hackers and similar unauthorized users seeking to gain access to or corrupt our information technology systems. Since the beginning of the last fiscal year, we have not identified risks from known cybersecurity threats, including as a result of any previous cybersecurity incidents, that have materially affected us, including our business strategy, results of operations, or financial condition, or that we believe are reasonably likely to have such an effect over the long term. However, there can be no assurance that we will be able to successfully mitigate the negative impacts of cybersecurity threats in the future. Accordingly, we continue to prioritize our cybersecurity risk management despite the lack of identified material impacts to date.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Management and Board of Directors’ Role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meets regularly with management to help manage and assess risk exposures and potential damages related to information security, cybersecurity, and data protection and the steps management has taken to help identify, monitor, and control such exposures, as well as associated mitigation and remediation action, and actions to continue our operations. Information distributed to and discussed with the Audit Committee includes data on cybersecurity incidents and risks, company-wide enterprise risks, training programs, risk assessments, internal controls, security software, incident response plans, and forward-looking information security and business continuity strategies. The Audit Committee reports directly to the Board of Directors on a quarterly basis.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Expertise of Management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Chief Information Officer, who has led our ITG since 1999, holds degrees in Cybersecurity Management and Policy and Information Management and is certified in various information security applications. The Head of our Cybersecurity and Privacy division has been with FTI since 2007 and has extensive experience in the cybersecurity field. The members of Cybersecurity &amp; Privacy division have experience and education in cybersecurity, risk management, data assurance,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compliance. Among them they hold various certifications in information systems security and privacy. The practices and activities of our cybersecurity and information technology teams align with internationally accepted management frameworks.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we offer cybersecurity consulting as a service to clients. Our client-facing cybersecurity and information security experts periodically advise our cybersecurity and information technology teams regarding best practices. In addition, from time-to-time, they address our executives, directors, and other segment or regional leaders regarding complex issues faced by other companies that arise from data-security-related challenges. Among other things, they discuss new and evolving types and levels of threats and attacks, hacking and ransomware, foreign actors, risks driven by new and evolving technologies, including artificial intelligence, potential damages, and liability, and technological and other solutions potentially available to mitigate such risks, as well as other company responses. The existence of this team within FTI aids in our ability to have current incident and threat intelligence that we can use to bolster our own security posture and defenses. Our cybersecurity practice also provides us with supplemental incident response investigation services in partnership with independent, external consultants, as needed and as appropriate.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the risks we face related to cyber and information security threats, please see the related risk factor in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executive offices located in Washington, D.C., consist of 100,511 square feet under a lease expiring April 2028. We also lease offices to support our operations in 30 other cities across the U.S., including New York, Chicago, Denver, Houston, Dallas, Los Angeles and San Francisco, and we lease office space to support our international locations in 31 countries and territories — the UK, Ireland, Finland, France, Germany, Spain, Belgium, Switzerland, Denmark, Italy, Netherlands, Portugal, Sweden, Australia, China (including Hong Kong), Japan, Singapore, the United Arab Emirates, Lebanon, South Korea, South Africa, Argentina, Brazil, Colombia, Mexico, Canada, India, Qatar, Saudi Arabia, the Cayman Islands and the Virgin Islands (British). In November 2025, we entered into a material lease agreement to accept possession of three leases for our new office space in London, England for an initial fixed term of 15 years, subject to a one-time renewal option of five or ten years for each of the three leases. The Company expects to accept possession of the premises on or about September 25, 2027. We believe our existing leased facilities are adequate to meet our current requirements and that suitable space will be available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in the ordinary course of business, we are subject to claims, asserted or unasserted, or named as a party to lawsuits or investigations. Litigation can be expensive and disruptive to normal business operations. Moreover, the results of legal proceedings cannot be predicted with any certainty, and in the case of more complex legal proceedings the results are difficult to predict at all. We evaluate litigation claims and legal proceedings to assess the likelihood of unfavorable outcomes and to estimate, if possible, the amount of potential losses. Based on these assessments and estimates, we establish reserves and/or disclose the relevant litigation claims or legal proceedings, as appropriate. These assessments and estimates are based on the information available to management at the time and involve a significant amount of management judgment. Actual outcomes or losses may differ materially from those anticipated at the time. As of the filing of our Annual Report on Form 10-K, we are not aware of any asserted or unasserted legal proceedings or claims that we believe would have a material adverse effect on our financial condition or results of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MARKET FOR THE REGISTRANT'S COMMON EQUITY, RELATED STOCKHOLDER MATTERS AND ISSUER PURCHASES OF EQUITY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common stock currently trades on the New York Stock Exchange (the “NYSE”) under the symbol FCN. As of January 30, 2026, the number of holders of record of our common stock was 304, which does not include a substantially greater number of beneficial holders whose shares are held by banks, brokers and other financial institutions.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number of shares of common stock of the Company authorized or to be issued upon exercise of outstanding options, warrants and rights awarded under our employee equity compensation plans as of December 31, 2025:</w:t>
      </w:r>
    </w:p>
    <w:tbl>
      <w:tblPr>
        <w:tblW w:w="10205" w:type="dxa"/>
        <w:jc w:val="left"/>
        <w:tblInd w:w="0" w:type="dxa"/>
        <w:tblLayout w:type="fixed"/>
        <w:tblCellMar>
          <w:top w:w="28" w:type="dxa"/>
          <w:left w:w="28" w:type="dxa"/>
          <w:bottom w:w="28" w:type="dxa"/>
          <w:right w:w="28" w:type="dxa"/>
        </w:tblCellMar>
      </w:tblPr>
      <w:tblGrid>
        <w:gridCol w:w="593"/>
        <w:gridCol w:w="520"/>
        <w:gridCol w:w="523"/>
        <w:gridCol w:w="844"/>
        <w:gridCol w:w="844"/>
        <w:gridCol w:w="846"/>
        <w:gridCol w:w="109"/>
        <w:gridCol w:w="109"/>
        <w:gridCol w:w="109"/>
        <w:gridCol w:w="414"/>
        <w:gridCol w:w="1215"/>
        <w:gridCol w:w="216"/>
        <w:gridCol w:w="109"/>
        <w:gridCol w:w="109"/>
        <w:gridCol w:w="109"/>
        <w:gridCol w:w="1052"/>
        <w:gridCol w:w="1052"/>
        <w:gridCol w:w="1054"/>
        <w:gridCol w:w="109"/>
        <w:gridCol w:w="109"/>
        <w:gridCol w:w="160"/>
      </w:tblGrid>
      <w:tr>
        <w:trPr/>
        <w:tc>
          <w:tcPr>
            <w:tcW w:w="59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Remaining Available for Future Issuance Under Equity Compensation Plans (Excluding Securities Reflected in Column (a))</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Plan Category</w:t>
            </w:r>
          </w:p>
        </w:tc>
        <w:tc>
          <w:tcPr>
            <w:tcW w:w="81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Equity compensation plans approved by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security holders</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6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Includes up to 22,042 shares of common stock issuable upon exercise of fully vested stock options granted under our 2009 Omnibus Incentive Compensation Plan (as Amended and Restated Effective as of June 3, 2015).</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Includes 1,144,986 shares of common stock available for issuance under our 2017 Omnibus Incentive Compensation Plan, as amended, all of which are available for stock-based awards.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Sales of Unregistered Securities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with respect to purchases we made of our common stock during the fourth quarter of 2025: </w:t>
      </w:r>
    </w:p>
    <w:tbl>
      <w:tblPr>
        <w:tblW w:w="9478" w:type="dxa"/>
        <w:jc w:val="left"/>
        <w:tblInd w:w="0" w:type="dxa"/>
        <w:tblLayout w:type="fixed"/>
        <w:tblCellMar>
          <w:top w:w="28" w:type="dxa"/>
          <w:left w:w="28" w:type="dxa"/>
          <w:bottom w:w="28" w:type="dxa"/>
          <w:right w:w="28" w:type="dxa"/>
        </w:tblCellMar>
      </w:tblPr>
      <w:tblGrid>
        <w:gridCol w:w="1249"/>
        <w:gridCol w:w="1097"/>
        <w:gridCol w:w="1104"/>
        <w:gridCol w:w="295"/>
        <w:gridCol w:w="295"/>
        <w:gridCol w:w="296"/>
        <w:gridCol w:w="109"/>
        <w:gridCol w:w="109"/>
        <w:gridCol w:w="109"/>
        <w:gridCol w:w="211"/>
        <w:gridCol w:w="721"/>
        <w:gridCol w:w="109"/>
        <w:gridCol w:w="109"/>
        <w:gridCol w:w="109"/>
        <w:gridCol w:w="109"/>
        <w:gridCol w:w="440"/>
        <w:gridCol w:w="440"/>
        <w:gridCol w:w="441"/>
        <w:gridCol w:w="109"/>
        <w:gridCol w:w="109"/>
        <w:gridCol w:w="109"/>
        <w:gridCol w:w="318"/>
        <w:gridCol w:w="1248"/>
        <w:gridCol w:w="233"/>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w:t>
              <w:br/>
              <w:t>Paid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as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Part of Publicly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Announced</w:t>
            </w:r>
          </w:p>
          <w:p>
            <w:pPr>
              <w:pStyle w:val="TableContents"/>
              <w:bidi w:val="0"/>
              <w:spacing w:lineRule="auto" w:line="240" w:before="0" w:after="0"/>
              <w:jc w:val="center"/>
              <w:rPr/>
            </w:pPr>
            <w:r>
              <w:rPr>
                <w:rFonts w:ascii="Times New Roman;serif" w:hAnsi="Times New Roman;serif"/>
                <w:b/>
                <w:color w:val="000000"/>
                <w:sz w:val="16"/>
              </w:rPr>
              <w:t xml:space="preserve">Program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w:t>
              <w:br/>
              <w:t>Dollar Value of Shares</w:t>
              <w:br/>
              <w:t>That May Yet Be</w:t>
              <w:br/>
              <w:t>Purchased</w:t>
              <w:br/>
              <w:t>Under the</w:t>
              <w:br/>
              <w:t>Program</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0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through October 31, 2025</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(4)</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497,398 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through November 30, 2025</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497,398 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through December 31, 2025</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(5)</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491,756 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On June 2, 2016, our Board of Directors authorized a stock repurchase program (the “Repurchase Program”), which was most recently increased by $500.0 million to an aggregate authorization of $2.2 billion on October 21, 2025. No time limit has been established for the completion of the Repurchase Program, and the Repurchase Program may be suspended, discontinued or replaced by the Board of Directors at any time without prior notice. During the quarter ended December 31, 2025, we repurchased an aggregate of 519,944 shares of our common stock under the Repurchase Program at an average price of $160.58 per share for a total cost of approximately $83.5 million.</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Includes 73 shares of common stock withheld to cover payroll tax withholdings related to the lapse of restrictions on restricted stock.</w:t>
      </w:r>
    </w:p>
    <w:p>
      <w:pPr>
        <w:pStyle w:val="TextBody"/>
        <w:bidi w:val="0"/>
        <w:spacing w:lineRule="auto" w:line="288" w:before="0" w:after="18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Includes 1,426 shares of common stock withheld to cover payroll tax withholdings related to the lapse of restrictions on restricted stock.</w:t>
      </w:r>
    </w:p>
    <w:p>
      <w:pPr>
        <w:pStyle w:val="TextBody"/>
        <w:bidi w:val="0"/>
        <w:spacing w:lineRule="auto" w:line="288" w:before="0" w:after="18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During the month ended October 31, 2025, we repurchased and retired 486,580 shares of common stock, at an average price per share of $159.99, for an aggregate cost of $77.8 million.</w:t>
      </w:r>
    </w:p>
    <w:p>
      <w:pPr>
        <w:pStyle w:val="TextBody"/>
        <w:bidi w:val="0"/>
        <w:spacing w:lineRule="auto" w:line="288" w:before="0" w:after="18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During the month ended December 31, 2025, we repurchased and retired 33,364 shares of common stock, at an average price per share of $169.11, for an aggregate cost of $5.6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and analysis of our consolidated financial condition, results of operations and liquidity and capital resources for each of the two years in the period ended December 31, 2025 and significant factors that could affect our prospective financial condition and results of operations. This discussion should be read in conjunction with our consolidated financial statements and notes included in Part II, Item 8, “Financial Statements and Supplementary Data” of this Annual Report on Form 10-K (the “Annual Report”). For a similar discussion and analysis of our results for the year ended December 31, 2024 compared to our results for the year ended December 31, 2023, refer to Part II, Item 7, “Management’s Discussion and Analysis of Financial Condition and Results of Operations” of our Annual Report for the year ended December 31, 2024, filed with the United States (“U.S.”) Securities and Exchange Commission (“SEC”) on February 20, 2025. Historical results and any discussion of prospective results may not indicate our future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FTI Consulting, Inc., including its consolidated subsidiaries (collectively, the “Company,” “we,” “our” or “FTI Consulting”) is a leading global expert firm for organizations facing crisis and transformation. Individually, each of our segments and practices is staffed with experts recognized for the depth of their knowledge and a track record of making an impact.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report financial results for the following five reportable segments: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Our </w:t>
      </w:r>
      <w:r>
        <w:rPr>
          <w:rFonts w:ascii="Times New Roman;serif" w:hAnsi="Times New Roman;serif"/>
          <w:b/>
          <w:color w:val="000000"/>
          <w:sz w:val="20"/>
        </w:rPr>
        <w:t>Corporate Finance</w:t>
      </w:r>
      <w:r>
        <w:rPr>
          <w:color w:val="000000"/>
        </w:rPr>
        <w:t xml:space="preserve"> </w:t>
      </w:r>
      <w:r>
        <w:rPr>
          <w:rFonts w:ascii="Times New Roman;serif" w:hAnsi="Times New Roman;serif"/>
          <w:b w:val="false"/>
          <w:color w:val="000000"/>
          <w:sz w:val="20"/>
        </w:rPr>
        <w:t>segment focuses on the strategic, operational, financial, transactional and capital needs of our clients around the world. Our clients include companies, boards of directors, investors, private equity sponsors, lenders, and other financing sources and creditor groups, governments and other interested parties. We deliver a wide range of services centered around three core offerings: Transactions, Transformation and Turnaround &amp; Restructuring.</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Our </w:t>
      </w:r>
      <w:r>
        <w:rPr>
          <w:rFonts w:ascii="Times New Roman;serif" w:hAnsi="Times New Roman;serif"/>
          <w:b/>
          <w:color w:val="000000"/>
          <w:sz w:val="20"/>
        </w:rPr>
        <w:t>Forensic and Litigation Consulting (“FLC”)</w:t>
      </w:r>
      <w:r>
        <w:rPr>
          <w:color w:val="000000"/>
        </w:rPr>
        <w:t xml:space="preserve"> </w:t>
      </w:r>
      <w:r>
        <w:rPr>
          <w:rFonts w:ascii="Times New Roman;serif" w:hAnsi="Times New Roman;serif"/>
          <w:b w:val="false"/>
          <w:color w:val="000000"/>
          <w:sz w:val="20"/>
        </w:rPr>
        <w:t>segment provides law firms, companies, boards of directors, government entities, private equity firms and other interested parties with a multidisciplinary and independent range of services across risk &amp; investigations and disputes, supported by our data &amp; analytics technology-enabled solutions, with a focus on highly regulated industries. Our services are centered around five core offerings: Construction, Projects &amp; Assets and Environmental Solutions, Data &amp; Analytics, Dispute Advisory Services, Healthcare Risk Management &amp; Advisory and Risk &amp; Investigations, which includes our cybersecurity and financial services-related offerings.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Our </w:t>
      </w:r>
      <w:r>
        <w:rPr>
          <w:rFonts w:ascii="Times New Roman;serif" w:hAnsi="Times New Roman;serif"/>
          <w:b/>
          <w:color w:val="000000"/>
          <w:sz w:val="20"/>
        </w:rPr>
        <w:t>Economic Consulting</w:t>
      </w:r>
      <w:r>
        <w:rPr>
          <w:color w:val="000000"/>
        </w:rPr>
        <w:t xml:space="preserve"> </w:t>
      </w:r>
      <w:r>
        <w:rPr>
          <w:rFonts w:ascii="Times New Roman;serif" w:hAnsi="Times New Roman;serif"/>
          <w:b w:val="false"/>
          <w:color w:val="000000"/>
          <w:sz w:val="20"/>
        </w:rPr>
        <w:t xml:space="preserve">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 </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Our </w:t>
      </w:r>
      <w:r>
        <w:rPr>
          <w:rFonts w:ascii="Times New Roman;serif" w:hAnsi="Times New Roman;serif"/>
          <w:b/>
          <w:color w:val="000000"/>
          <w:sz w:val="20"/>
        </w:rPr>
        <w:t>Technology</w:t>
      </w:r>
      <w:r>
        <w:rPr>
          <w:color w:val="000000"/>
        </w:rPr>
        <w:t xml:space="preserve"> </w:t>
      </w:r>
      <w:r>
        <w:rPr>
          <w:rFonts w:ascii="Times New Roman;serif" w:hAnsi="Times New Roman;serif"/>
          <w:b w:val="false"/>
          <w:color w:val="000000"/>
          <w:sz w:val="20"/>
        </w:rPr>
        <w:t>segment provides companies, law firms, private equity firms and government entities with a comprehensive global portfolio of digital insights and risk management, artificial intelligence (“AI”) and data services. Our professionals help organizations better address risk as the growing volume and variety of enterprise and emerging data intersects with legal, regulatory and compliance needs. We deliver a wide range of expert and AI-powered solutions driven by five core client needs: Blockchain &amp; Digital Assets, Information Governance, Privacy &amp; Security, Investigations, Litigation, and M&amp;A, Antitrust and Competition.</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Our </w:t>
      </w:r>
      <w:r>
        <w:rPr>
          <w:rFonts w:ascii="Times New Roman;serif" w:hAnsi="Times New Roman;serif"/>
          <w:b/>
          <w:color w:val="000000"/>
          <w:sz w:val="20"/>
        </w:rPr>
        <w:t>Strategic Communications</w:t>
      </w:r>
      <w:r>
        <w:rPr>
          <w:color w:val="000000"/>
        </w:rPr>
        <w:t xml:space="preserve"> </w:t>
      </w:r>
      <w:r>
        <w:rPr>
          <w:rFonts w:ascii="Times New Roman;serif" w:hAnsi="Times New Roman;serif"/>
          <w:b w:val="false"/>
          <w:color w:val="000000"/>
          <w:sz w:val="20"/>
        </w:rPr>
        <w:t xml:space="preserve">segment develops and executes communications strategies to help management teams, boards of directors, law firms, governments and regulators manage change and mitigate risk surrounding transformational and disruptive events, including crises, transactions, investigations, disputes, regulation and legislation. We deliver a wide range of services centered around three core offerings: Corporate Reputation, Financial Communications and Public Affairs.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renamed its Corporate Finance &amp; Restructuring segment to Corporate Finance to better align with the segment’s business activities, structure and strategy, as of December 31, 2025. The segment name change did not result in any change to the composition of the segment and has no impact on previously reported financial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derive substantially all of our revenues from providing professional services to both U.S. and international clients. Most of our services are rendered under time and expense contract arrangements, which require the client to pay us based on the number of hours worked at contractually agreed-upon rates. Under this arrangement, we typically bill our clients for reimbursable expenses, including those relating to travel, out-of-pocket expenses, outside consultants and other outside service costs. Certain contracts are rendered under fixed-fee arrangements, which require the client to pay a fixed-fee in exchange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predetermined set of professional services. Fixed-fee arrangements may require certain clients to pay us a recurring retainer. Our contract arrangements may also contain success fees or performance-based arrangements in which our fees are based on the attainment of contractually defined objectives with our client. This type of success fee may supplement a time and expense or fixed-fee arrangement. Success fees and other contractual terms may cause variations in our revenues and operating results due to the timing of when achieving the performance-based criteria becomes probable. Seasonal factors, such as the timing of our employees’ and clients’ vacations and holidays, may impact the timing of our revenue recognition across our segments.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our Technology segment, certain clients are billed based on the amount of data storage used or the volume of information processed. Unit-based revenues are defined as revenues billed on a per item, per page or another unit-based method and include revenues from data processing and hosting. Unit-based revenues include revenues associated with licensed software products made available to customers via a web browser (“on-demand”). On-demand revenues are charged on a unit or monthly basis and include, but are not limited to, processing and review related functions.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financial results are primarily driven by: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number, size and type of engagements we secure;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number of billable professionals;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utilization rates of the billable professionals we employ;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rate per hour or fixed charges we charge our clients for services;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timing of revenue recognition;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length of the billing and collection cycles; and</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geographic locations of our clients or locations in which services are rendered.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acquisition growth as revenues of acquired companies in the first 12 months following the effective date of an acquisition. When significant, we identify the impact of acquisition-related revenue growth.</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When significant, we identify the estimated impact of foreign currency (“FX”) driven by our businesses with functional currencies other than the U.S. dollar (“USD”). The estimated impact of FX on the period-to-period performance results is calculated as the difference between the prior period results multiplied by the average FX exchange rates to USD in the current period and the prior period results, multiplied by the average FX exchange rates to USD in the prior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accompanying analysis of financial information, we sometimes use information derived from consolidated and segment financial information that may not be presented in our financial statements or prepared in accordance with generally accepted accounting principles in the U.S. (“GAAP”). Certain of these financial measures are considered not in conformity with GAAP (“non-GAAP financial measures”) under the SEC rules. Specifically, we have referred to the following non-GAAP financial measures: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Total Segment Operating Income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Adjusted Segment EBITDA</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Total Adjusted Segment EBITDA</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Adjusted EBITDA</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Adjusted EBITDA Margin</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Adjusted Net Income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Adjusted Earnings per Diluted Share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Free Cash Flow</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included the definition of Segment Operating Income, which is a GAAP financial measure, below in order to more fully define the components of certain non-GAAP financial measures in the accompanying analysis of financial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Segment Operating Income as a segment’s share of consolidated operating income. We define Total Segment Operating Income, which is a non-GAAP financial measure, as the total of Segment Operating Income for all segments, which excludes unallocated corporate expenses. We use Segment Operating Income for the purpose of calculating Adjusted Segment EBITDA, which is a non-GAAP financial measure. We define Adjusted Segment EBITDA as Segment Operating Income before depreciation, amortization of intangible assets, remeasurement of acquisition-related contingent consideration, special charges and goodwill impairment charges. We use Adjusted Segment EBITDA as a basis to internally evaluate the financial performance of our segments because we believe it reflects core operating performance and provides an indicator of the segment’s ability to generate cash. We define Total Adjusted Segment EBITDA, which is a non-GAAP financial measure, as the total of Adjusted Segment EBITDA for all segments, which excludes unallocated corporate expenses.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and losses on early extinguishment of debt. We define Adjusted EBITDA Margin, which is a non-GAAP financial measure, as Adjusted EBITDA as a percentage of total revenues. We believe that these non-GAAP financial measures, when considered together with our GAAP financial results and GAAP financial measures, provide management and investors with a more complete understanding of our operating results, including underlying trends. In addition, EBITDA is a common alternative measure of operating performance used by many of our competitors. It is used by investors, financial analysts, rating agencies and others to value and compare the financial performance of companies in our industry. Therefore, we also believe that these non-GAAP financial measures, considered along with corresponding GAAP financial measures, provide management and investors with useful supplemental information.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Adjusted Net Income and Adjusted Earnings per Diluted Share (“Adjusted EPS”), which are non-GAAP financial measures, as net income and earnings per diluted share (“EPS”), respectively, excluding the impact of remeasurement of acquisition-related contingent consideration, special charges, goodwill impairment charges, the gain or loss on sale of a business and losses on early extinguishment of debt. We use Adjusted Net Income for the purpose of calculating Adjusted EPS. Management uses Adjusted EPS to assess total Company operating performance on a consistent basis. We believe that these non-GAAP financial measures, when considered together with our GAAP financial results and GAAP financial measures, provide management and investors with useful supplemental information on our business operating results, including underlying trends.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Free Cash Flow, which is a non-GAAP financial measure, as net cash provided by operating activities less cash payments for purchases of property and equipment. We believe this non-GAAP financial measure, when considered together with our GAAP financial results, provides management and investors with useful supplemental information on the Company’s ability to generate cash for ongoing business operations and capital deployment.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our Consolidated Statements of Comprehensive Income and Consolidated Statements of Cash Flows. Reconciliations of these non-GAAP financial measures to the most directly comparable GAAP financial measures are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Full Year 2025 Executive Highlights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Financial Highlights</w:t>
      </w:r>
    </w:p>
    <w:tbl>
      <w:tblPr>
        <w:tblW w:w="8225" w:type="dxa"/>
        <w:jc w:val="left"/>
        <w:tblInd w:w="0" w:type="dxa"/>
        <w:tblLayout w:type="fixed"/>
        <w:tblCellMar>
          <w:top w:w="28" w:type="dxa"/>
          <w:left w:w="28" w:type="dxa"/>
          <w:bottom w:w="28" w:type="dxa"/>
          <w:right w:w="28" w:type="dxa"/>
        </w:tblCellMar>
      </w:tblPr>
      <w:tblGrid>
        <w:gridCol w:w="1256"/>
        <w:gridCol w:w="1101"/>
        <w:gridCol w:w="1107"/>
        <w:gridCol w:w="211"/>
        <w:gridCol w:w="976"/>
        <w:gridCol w:w="109"/>
        <w:gridCol w:w="109"/>
        <w:gridCol w:w="109"/>
        <w:gridCol w:w="109"/>
        <w:gridCol w:w="211"/>
        <w:gridCol w:w="976"/>
        <w:gridCol w:w="109"/>
        <w:gridCol w:w="109"/>
        <w:gridCol w:w="109"/>
        <w:gridCol w:w="109"/>
        <w:gridCol w:w="309"/>
        <w:gridCol w:w="309"/>
        <w:gridCol w:w="897"/>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amounts in thousands, except per share amounts)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Special charges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number of employees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Excluded from non-GAAP financial measures, including Adjusted EBITDA and Adjusted EPS.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for the year ended December 31, 2025 increased $90.2 million, or 2.4%, compared to the year ended December 31, 2024, due to higher revenues in our Corporate Finance, FLC and Strategic Communications segments, which was partially offset by lower revenues in our Economic Consulting and Technology segments.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Special Charges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recorded special charges of $25.3 million. The charges related to targeted headcount reductions in areas of each segment and region where we realigned our workforce with current business demand for our consulting services. The majority of the special charges were paid during the year ended December 31, 2025 and the remaining amounts will be paid in cash in the next three months.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special charges by segment:</w:t>
      </w:r>
    </w:p>
    <w:tbl>
      <w:tblPr>
        <w:tblW w:w="4860" w:type="dxa"/>
        <w:jc w:val="left"/>
        <w:tblInd w:w="0" w:type="dxa"/>
        <w:tblLayout w:type="fixed"/>
        <w:tblCellMar>
          <w:top w:w="28" w:type="dxa"/>
          <w:left w:w="28" w:type="dxa"/>
          <w:bottom w:w="28" w:type="dxa"/>
          <w:right w:w="28" w:type="dxa"/>
        </w:tblCellMar>
      </w:tblPr>
      <w:tblGrid>
        <w:gridCol w:w="847"/>
        <w:gridCol w:w="744"/>
        <w:gridCol w:w="748"/>
        <w:gridCol w:w="412"/>
        <w:gridCol w:w="1413"/>
        <w:gridCol w:w="215"/>
        <w:gridCol w:w="109"/>
        <w:gridCol w:w="109"/>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Year Ended </w:t>
            </w:r>
          </w:p>
          <w:p>
            <w:pPr>
              <w:pStyle w:val="TableContents"/>
              <w:bidi w:val="0"/>
              <w:spacing w:lineRule="auto" w:line="240" w:before="0" w:after="180"/>
              <w:ind w:left="0" w:right="0" w:firstLine="54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FLC</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Communications</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Segment special charges</w:t>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23,350 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special charges</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During the year ended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we recorded special charges of $8.2 million. The charges related to targeted headcount reductions in areas of each segment and region where we realigned our workforce with current business demand for our consulting services.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Net income for the year ended December 31, 2025 decreased $9.2 million, or 3.3%, </w:t>
      </w:r>
      <w:r>
        <w:rPr>
          <w:rFonts w:ascii="Times New Roman;serif" w:hAnsi="Times New Roman;serif"/>
          <w:b w:val="false"/>
          <w:color w:val="000000"/>
          <w:sz w:val="20"/>
          <w:shd w:fill="FFFFFF" w:val="clear"/>
        </w:rPr>
        <w:t>compared to the year ended December 31, 2024</w:t>
      </w:r>
      <w:r>
        <w:rPr>
          <w:rFonts w:ascii="Times New Roman;serif" w:hAnsi="Times New Roman;serif"/>
          <w:b w:val="false"/>
          <w:color w:val="000000"/>
          <w:sz w:val="20"/>
        </w:rPr>
        <w:t>. The decrease in net income was primarily due to higher direct costs, which includes the impact of an increase in variable compensation and forgivable loan amortization, as well as higher income taxes, special charges and interest expense. The decrease was partially offset by higher revenues and lower selling, general and administrative (“SG&amp;A”) expenses, which include legal settlement gains.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Adjusted EBITDA for the year ended December 31, 2025 increased $59.9 million, or 14.8%, </w:t>
      </w:r>
      <w:r>
        <w:rPr>
          <w:rFonts w:ascii="Times New Roman;serif" w:hAnsi="Times New Roman;serif"/>
          <w:b w:val="false"/>
          <w:color w:val="000000"/>
          <w:sz w:val="20"/>
          <w:shd w:fill="FFFFFF" w:val="clear"/>
        </w:rPr>
        <w:t>compared to the year ended December 31, 2024.</w:t>
      </w:r>
      <w:r>
        <w:rPr>
          <w:color w:val="000000"/>
        </w:rPr>
        <w:t xml:space="preserve"> </w:t>
      </w:r>
      <w:r>
        <w:rPr>
          <w:rFonts w:ascii="Times New Roman;serif" w:hAnsi="Times New Roman;serif"/>
          <w:b w:val="false"/>
          <w:color w:val="000000"/>
          <w:sz w:val="20"/>
        </w:rPr>
        <w:t>Adjusted EBITDA Margin of 12.2% of revenues for the year ended December 31, 2025 compared to 10.9% of revenues for the year ended December 31, 2024. The increase in Adjusted EBITDA was primarily due to higher revenues and lower SG&amp;A expenses, which include legal settlement gains. The increase was partially offset by higher direct costs, which includes the impact of higher variable compensation and forgivable loan amortization. Adjusted EBITDA for the years ended December 31, 2025 and 2024 excludes the $25.3 million and $8.2 million special charges,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EPS and Adjusted EPS</w:t>
      </w:r>
    </w:p>
    <w:p>
      <w:pPr>
        <w:pStyle w:val="TextBody"/>
        <w:bidi w:val="0"/>
        <w:spacing w:lineRule="auto" w:line="288" w:before="0" w:after="180"/>
        <w:ind w:left="0" w:right="0" w:firstLine="540"/>
        <w:jc w:val="left"/>
        <w:rPr/>
      </w:pPr>
      <w:r>
        <w:rPr>
          <w:rFonts w:ascii="Times New Roman;serif" w:hAnsi="Times New Roman;serif"/>
          <w:b w:val="false"/>
          <w:color w:val="000000"/>
          <w:sz w:val="20"/>
        </w:rPr>
        <w:t>EPS for the year ended December 31, 2025</w:t>
      </w:r>
      <w:r>
        <w:rPr>
          <w:color w:val="000000"/>
          <w:shd w:fill="FFFFFF" w:val="clear"/>
        </w:rPr>
        <w:t xml:space="preserve"> </w:t>
      </w:r>
      <w:r>
        <w:rPr>
          <w:rFonts w:ascii="Times New Roman;serif" w:hAnsi="Times New Roman;serif"/>
          <w:b w:val="false"/>
          <w:color w:val="000000"/>
          <w:sz w:val="20"/>
          <w:shd w:fill="FFFFFF" w:val="clear"/>
        </w:rPr>
        <w:t>increased $0.43 to $8.24 com</w:t>
      </w:r>
      <w:r>
        <w:rPr>
          <w:rFonts w:ascii="Times New Roman;serif" w:hAnsi="Times New Roman;serif"/>
          <w:b w:val="false"/>
          <w:color w:val="000000"/>
          <w:sz w:val="20"/>
        </w:rPr>
        <w:t>pared to $7.81 for the year ended December 31, 2024. The increase in EPS was primarily due to lower weighted average shares outstanding, which was partially offset by a decrease in net income, as described above.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Adjusted EPS for the year ended December 31, 2025 increased $0.84 to $8.83 compared to $7.99 for the year ended December 31, 2024. Adjusted EPS for the years ended December 31, 2025 and 2024 excludes the $25.3 million and $8.2 million special charges, which increased Adjusted EPS by $0.59 and $0.18,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Liquidity and Capital Allocation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year ended December 31, 2025 decreased $243.0 million to $152.1 million compared to $395.1 million for the year ended December 31, 2024. The decrease in net cash provided by operating activities was primarily due to higher forgivable loan issuances, compensation and income tax payments, which was partially offset by an increase in cash collections. Days sales outstanding (“DSO”) was 88 days at December 31, 2025 and 97 days at December 31, 2024.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Free Cash Flow was an inflow of $93.6 million and $360.2 million for the years ended December 31, 2025 and 2024, respectively. The decrease in Free Cash Flow was primarily due to lower net cash provided by operating activities, as described above, and higher net cash used for purchases of property and equipment.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portion of net cash provided by operating activities was used to repurchase and retire 5,264,916 shares of our common stock under our Repurchase Program for an average price per share of $163.07, at a total cost of $858.6 million, excluding commissions, during the year ended December 31, 2025. We had $491.8 million remaining under the Repurchase Program to repurchase additional shares as of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Headcount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net headcount additions (reductions) by segment and in total for the year ended December 31, 2025:</w:t>
      </w:r>
    </w:p>
    <w:tbl>
      <w:tblPr>
        <w:tblW w:w="11229" w:type="dxa"/>
        <w:jc w:val="left"/>
        <w:tblInd w:w="0" w:type="dxa"/>
        <w:tblLayout w:type="fixed"/>
        <w:tblCellMar>
          <w:top w:w="28" w:type="dxa"/>
          <w:left w:w="28" w:type="dxa"/>
          <w:bottom w:w="28" w:type="dxa"/>
          <w:right w:w="28" w:type="dxa"/>
        </w:tblCellMar>
      </w:tblPr>
      <w:tblGrid>
        <w:gridCol w:w="502"/>
        <w:gridCol w:w="296"/>
        <w:gridCol w:w="298"/>
        <w:gridCol w:w="109"/>
        <w:gridCol w:w="109"/>
        <w:gridCol w:w="109"/>
        <w:gridCol w:w="194"/>
        <w:gridCol w:w="194"/>
        <w:gridCol w:w="483"/>
        <w:gridCol w:w="109"/>
        <w:gridCol w:w="109"/>
        <w:gridCol w:w="109"/>
        <w:gridCol w:w="210"/>
        <w:gridCol w:w="211"/>
        <w:gridCol w:w="317"/>
        <w:gridCol w:w="109"/>
        <w:gridCol w:w="109"/>
        <w:gridCol w:w="109"/>
        <w:gridCol w:w="224"/>
        <w:gridCol w:w="197"/>
        <w:gridCol w:w="492"/>
        <w:gridCol w:w="109"/>
        <w:gridCol w:w="109"/>
        <w:gridCol w:w="109"/>
        <w:gridCol w:w="210"/>
        <w:gridCol w:w="211"/>
        <w:gridCol w:w="526"/>
        <w:gridCol w:w="109"/>
        <w:gridCol w:w="109"/>
        <w:gridCol w:w="109"/>
        <w:gridCol w:w="294"/>
        <w:gridCol w:w="294"/>
        <w:gridCol w:w="733"/>
        <w:gridCol w:w="109"/>
        <w:gridCol w:w="109"/>
        <w:gridCol w:w="109"/>
        <w:gridCol w:w="210"/>
        <w:gridCol w:w="211"/>
        <w:gridCol w:w="319"/>
        <w:gridCol w:w="109"/>
        <w:gridCol w:w="109"/>
        <w:gridCol w:w="109"/>
        <w:gridCol w:w="224"/>
        <w:gridCol w:w="224"/>
        <w:gridCol w:w="558"/>
        <w:gridCol w:w="109"/>
        <w:gridCol w:w="109"/>
        <w:gridCol w:w="109"/>
        <w:gridCol w:w="228"/>
        <w:gridCol w:w="193"/>
        <w:gridCol w:w="560"/>
      </w:tblGrid>
      <w:tr>
        <w:trPr/>
        <w:tc>
          <w:tcPr>
            <w:tcW w:w="50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2"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Billable Headcount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Finance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 Consulting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w:t>
              <w:b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Non-Billable Headcount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Headcount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(reductions),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Percentage change in headcount from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4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7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Segment and Consolidated Operating Results:</w:t>
      </w:r>
    </w:p>
    <w:tbl>
      <w:tblPr>
        <w:tblW w:w="6353" w:type="dxa"/>
        <w:jc w:val="left"/>
        <w:tblInd w:w="0" w:type="dxa"/>
        <w:tblLayout w:type="fixed"/>
        <w:tblCellMar>
          <w:top w:w="28" w:type="dxa"/>
          <w:left w:w="28" w:type="dxa"/>
          <w:bottom w:w="28" w:type="dxa"/>
          <w:right w:w="28" w:type="dxa"/>
        </w:tblCellMar>
      </w:tblPr>
      <w:tblGrid>
        <w:gridCol w:w="1226"/>
        <w:gridCol w:w="1073"/>
        <w:gridCol w:w="1090"/>
        <w:gridCol w:w="211"/>
        <w:gridCol w:w="976"/>
        <w:gridCol w:w="109"/>
        <w:gridCol w:w="109"/>
        <w:gridCol w:w="109"/>
        <w:gridCol w:w="109"/>
        <w:gridCol w:w="211"/>
        <w:gridCol w:w="97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Communications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Communications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 provision</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Reconciliation of Net Income to Adjusted EBITDA:</w:t>
      </w:r>
    </w:p>
    <w:tbl>
      <w:tblPr>
        <w:tblW w:w="6039" w:type="dxa"/>
        <w:jc w:val="left"/>
        <w:tblInd w:w="0" w:type="dxa"/>
        <w:tblLayout w:type="fixed"/>
        <w:tblCellMar>
          <w:top w:w="28" w:type="dxa"/>
          <w:left w:w="28" w:type="dxa"/>
          <w:bottom w:w="28" w:type="dxa"/>
          <w:right w:w="28" w:type="dxa"/>
        </w:tblCellMar>
      </w:tblPr>
      <w:tblGrid>
        <w:gridCol w:w="1222"/>
        <w:gridCol w:w="1071"/>
        <w:gridCol w:w="1082"/>
        <w:gridCol w:w="211"/>
        <w:gridCol w:w="826"/>
        <w:gridCol w:w="109"/>
        <w:gridCol w:w="109"/>
        <w:gridCol w:w="109"/>
        <w:gridCol w:w="109"/>
        <w:gridCol w:w="211"/>
        <w:gridCol w:w="82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Reconciliation of Net Income and EPS to Adjusted Net Income and Adjusted EPS:</w:t>
      </w:r>
    </w:p>
    <w:tbl>
      <w:tblPr>
        <w:tblW w:w="8456" w:type="dxa"/>
        <w:jc w:val="left"/>
        <w:tblInd w:w="0" w:type="dxa"/>
        <w:tblLayout w:type="fixed"/>
        <w:tblCellMar>
          <w:top w:w="28" w:type="dxa"/>
          <w:left w:w="28" w:type="dxa"/>
          <w:bottom w:w="28" w:type="dxa"/>
          <w:right w:w="28" w:type="dxa"/>
        </w:tblCellMar>
      </w:tblPr>
      <w:tblGrid>
        <w:gridCol w:w="2041"/>
        <w:gridCol w:w="1790"/>
        <w:gridCol w:w="1808"/>
        <w:gridCol w:w="223"/>
        <w:gridCol w:w="874"/>
        <w:gridCol w:w="115"/>
        <w:gridCol w:w="115"/>
        <w:gridCol w:w="115"/>
        <w:gridCol w:w="115"/>
        <w:gridCol w:w="223"/>
        <w:gridCol w:w="874"/>
        <w:gridCol w:w="163"/>
      </w:tblGrid>
      <w:tr>
        <w:trPr/>
        <w:tc>
          <w:tcPr>
            <w:tcW w:w="2041"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270,871 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280,088 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special charges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2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290,367 </w:t>
            </w:r>
          </w:p>
        </w:tc>
        <w:tc>
          <w:tcPr>
            <w:tcW w:w="11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286,461 </w:t>
            </w:r>
          </w:p>
        </w:tc>
        <w:tc>
          <w:tcPr>
            <w:tcW w:w="16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2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special charges</w:t>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EPS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diluted</w:t>
            </w:r>
          </w:p>
        </w:tc>
        <w:tc>
          <w:tcPr>
            <w:tcW w:w="1097"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32,881 </w:t>
            </w:r>
          </w:p>
        </w:tc>
        <w:tc>
          <w:tcPr>
            <w:tcW w:w="115"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35,845 </w:t>
            </w:r>
          </w:p>
        </w:tc>
        <w:tc>
          <w:tcPr>
            <w:tcW w:w="163"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Reconciliation of Net Cash Provided by Operating Activities to Free Cash Flow:</w:t>
      </w:r>
    </w:p>
    <w:tbl>
      <w:tblPr>
        <w:tblW w:w="6233" w:type="dxa"/>
        <w:jc w:val="center"/>
        <w:tblInd w:w="0" w:type="dxa"/>
        <w:tblLayout w:type="fixed"/>
        <w:tblCellMar>
          <w:top w:w="28" w:type="dxa"/>
          <w:left w:w="28" w:type="dxa"/>
          <w:bottom w:w="28" w:type="dxa"/>
          <w:right w:w="28" w:type="dxa"/>
        </w:tblCellMar>
      </w:tblPr>
      <w:tblGrid>
        <w:gridCol w:w="1290"/>
        <w:gridCol w:w="1136"/>
        <w:gridCol w:w="1143"/>
        <w:gridCol w:w="211"/>
        <w:gridCol w:w="826"/>
        <w:gridCol w:w="109"/>
        <w:gridCol w:w="109"/>
        <w:gridCol w:w="109"/>
        <w:gridCol w:w="109"/>
        <w:gridCol w:w="211"/>
        <w:gridCol w:w="826"/>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Year Ended December 31, 2025 Compared to December 31, 2024</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Revenues and operating income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“Segment Results” for an expanded discussion of revenues, gross profit and SG&amp;A expenses.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Unallocated corporate expenses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decreased $19.8 million, or 13.4%, to $127.8 million compared to $147.6 million for the year ended December 31, 2024, primarily due to legal settlement gains.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income and other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and other, which includes FX gains and losses, decreased $7.0 million, or 67.9%, to a gain of $3.3 million for the year ended December 31, 2025, compared to a gain of $10.4 million for the year ended December 31, 2024. The decrease was primarily due to a $4.3 million net FX loss for the year ended December 31, 2025 compared to a $0.5 million net FX gain for the year ended December 31, 2024, as well as a $1.4 million decrease in interest income.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FX gains and losses, both realized and unrealized, relate to the remeasurement or settlement of monetary assets and liabilities that are denominated in a currency other than an entity’s functional currency. These monetary assets and liabilities include cash, as well as third-party and intercompany receivables and payables.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$14.4 million, or 207.8%, to $21.4 million for the year ended December 31, 2025 compared to $7.0 million for the year ended December 31, 2024, primarily due to higher borrowings on our senior unsecured bank revolving credit facility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income tax provision increased $29.5 million, or 41.7%, to $100.1 million for the year ended December 31, 2025 compared to $70.7 million for the year ended December 31, 2024. Our effective tax rate of 27.0% in 2025 compared to 20.2% in 2024. The increase in the income tax provision was primarily due to a less favorable tax benefit related to share-based compensation, resulting from fewer non-qualified stock option exercises and an increase in valuation allowances against certain foreign deferred tax assets as compared to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Adjusted Segment EBITDA</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evaluate the performance of each of our operating segments based on multiple measures of segment profit, including Adjusted Segment EBITDA, which is a non-GAAP financial measure. The following tables reconcile Segment Operating Income to Adjusted Segment EBITDA for the years ended December 31, 2025 and 2024:</w:t>
      </w:r>
    </w:p>
    <w:tbl>
      <w:tblPr>
        <w:tblW w:w="10877" w:type="dxa"/>
        <w:jc w:val="left"/>
        <w:tblInd w:w="0" w:type="dxa"/>
        <w:tblLayout w:type="fixed"/>
        <w:tblCellMar>
          <w:top w:w="28" w:type="dxa"/>
          <w:left w:w="28" w:type="dxa"/>
          <w:bottom w:w="28" w:type="dxa"/>
          <w:right w:w="28" w:type="dxa"/>
        </w:tblCellMar>
      </w:tblPr>
      <w:tblGrid>
        <w:gridCol w:w="514"/>
        <w:gridCol w:w="268"/>
        <w:gridCol w:w="26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72"/>
        <w:gridCol w:w="897"/>
        <w:gridCol w:w="152"/>
        <w:gridCol w:w="109"/>
        <w:gridCol w:w="109"/>
        <w:gridCol w:w="109"/>
        <w:gridCol w:w="196"/>
        <w:gridCol w:w="751"/>
        <w:gridCol w:w="109"/>
        <w:gridCol w:w="109"/>
        <w:gridCol w:w="109"/>
        <w:gridCol w:w="109"/>
        <w:gridCol w:w="196"/>
        <w:gridCol w:w="736"/>
        <w:gridCol w:w="154"/>
      </w:tblGrid>
      <w:tr>
        <w:trPr/>
        <w:tc>
          <w:tcPr>
            <w:tcW w:w="5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 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67,332 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 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Unallocated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45,790 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49,969 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403,685 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Total Adjusted Segment EBITDA</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Total Adjusted Segment EBITDA, which is a non-GAAP financial measure, as the total of Adjusted Segment EBITDA for all segments, which excludes unallocated corporate expenses. The following table reconciles net income to Total Segment Operating Income and Total Adjusted Segment EBITDA, for the years ended December 31, 2025 and 2024:</w:t>
      </w:r>
    </w:p>
    <w:tbl>
      <w:tblPr>
        <w:tblW w:w="5589" w:type="dxa"/>
        <w:jc w:val="left"/>
        <w:tblInd w:w="0" w:type="dxa"/>
        <w:tblLayout w:type="fixed"/>
        <w:tblCellMar>
          <w:top w:w="28" w:type="dxa"/>
          <w:left w:w="28" w:type="dxa"/>
          <w:bottom w:w="28" w:type="dxa"/>
          <w:right w:w="28" w:type="dxa"/>
        </w:tblCellMar>
      </w:tblPr>
      <w:tblGrid>
        <w:gridCol w:w="1059"/>
        <w:gridCol w:w="929"/>
        <w:gridCol w:w="937"/>
        <w:gridCol w:w="211"/>
        <w:gridCol w:w="826"/>
        <w:gridCol w:w="109"/>
        <w:gridCol w:w="109"/>
        <w:gridCol w:w="109"/>
        <w:gridCol w:w="109"/>
        <w:gridCol w:w="211"/>
        <w:gridCol w:w="82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depreciation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special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Adjusted Segment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Segment Operating Data</w:t>
      </w:r>
    </w:p>
    <w:tbl>
      <w:tblPr>
        <w:tblW w:w="6468" w:type="dxa"/>
        <w:jc w:val="left"/>
        <w:tblInd w:w="0" w:type="dxa"/>
        <w:tblLayout w:type="fixed"/>
        <w:tblCellMar>
          <w:top w:w="28" w:type="dxa"/>
          <w:left w:w="28" w:type="dxa"/>
          <w:bottom w:w="28" w:type="dxa"/>
          <w:right w:w="28" w:type="dxa"/>
        </w:tblCellMar>
      </w:tblPr>
      <w:tblGrid>
        <w:gridCol w:w="1522"/>
        <w:gridCol w:w="1337"/>
        <w:gridCol w:w="1341"/>
        <w:gridCol w:w="211"/>
        <w:gridCol w:w="466"/>
        <w:gridCol w:w="271"/>
        <w:gridCol w:w="109"/>
        <w:gridCol w:w="109"/>
        <w:gridCol w:w="109"/>
        <w:gridCol w:w="211"/>
        <w:gridCol w:w="466"/>
        <w:gridCol w:w="316"/>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 of billable professionals (at period end):</w:t>
            </w:r>
          </w:p>
        </w:tc>
        <w:tc>
          <w:tcPr>
            <w:tcW w:w="94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FLC</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Technology </w:t>
            </w:r>
            <w:r>
              <w:rPr>
                <w:rFonts w:ascii="Times New Roman;serif" w:hAnsi="Times New Roman;serif"/>
                <w:b w:val="false"/>
                <w:color w:val="000000"/>
                <w:sz w:val="13"/>
              </w:rPr>
              <w:t>(1)</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Communications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billable professionals</w:t>
            </w:r>
          </w:p>
        </w:tc>
        <w:tc>
          <w:tcPr>
            <w:tcW w:w="67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6,633 </w:t>
            </w:r>
          </w:p>
        </w:tc>
        <w:tc>
          <w:tcPr>
            <w:tcW w:w="3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Utilization rates of billable professionals: </w:t>
            </w:r>
            <w:r>
              <w:rPr>
                <w:rFonts w:ascii="Times New Roman;serif" w:hAnsi="Times New Roman;serif"/>
                <w:b w:val="false"/>
                <w:color w:val="000000"/>
                <w:sz w:val="13"/>
              </w:rPr>
              <w:t>(2)</w:t>
            </w:r>
          </w:p>
        </w:tc>
        <w:tc>
          <w:tcPr>
            <w:tcW w:w="94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1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1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Average billable rate per hour: </w:t>
            </w:r>
            <w:r>
              <w:rPr>
                <w:rFonts w:ascii="Times New Roman;serif" w:hAnsi="Times New Roman;serif"/>
                <w:b w:val="false"/>
                <w:color w:val="000000"/>
                <w:sz w:val="13"/>
              </w:rPr>
              <w:t>(3)</w:t>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number of billable professionals for the Technology segment excludes as-needed professionals, who we employ based on demand for the segment’s services. We employed an average of 602 and 776 as-needed employees during the years ended December 31, 2025 and 2024, respectively.</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We calculate the utilization rate for our billable professionals by dividing the number of hours that all of our billable professionals worked on client assignments during a period by the total available working hours for all of our billable professionals during the same period. Available hours are determined by the standard hours worked by each employee, adjusted for part-time hours, U.S. standard work weeks and local country holidays. Available working hours include vacation and professional training days, but exclude holidays. Utilization rates are presented for our segments that primarily bill clients on an hourly basis. We have not presented utilization rates for our Technology and Strategic Communications segments as most of the revenues of these segments are not generated on an hourly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For engagements where revenues are based on number of hours worked by our billable professionals and fixed-fee arrangements, average billable rate per hour is calculated by dividing revenues (excluding revenues from success fees, pass-through revenues and outside consultants) for a period by the number of hours worked on client assignments during the same period. We have not presented average billable rates per hour for our Technology and Strategic Communications segments as most of the revenues of these segments are not based on billable hours.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CORPORATE FINANCE</w:t>
      </w:r>
    </w:p>
    <w:tbl>
      <w:tblPr>
        <w:tblW w:w="9032" w:type="dxa"/>
        <w:jc w:val="center"/>
        <w:tblInd w:w="0" w:type="dxa"/>
        <w:tblLayout w:type="fixed"/>
        <w:tblCellMar>
          <w:top w:w="28" w:type="dxa"/>
          <w:left w:w="28" w:type="dxa"/>
          <w:bottom w:w="28" w:type="dxa"/>
          <w:right w:w="28" w:type="dxa"/>
        </w:tblCellMar>
      </w:tblPr>
      <w:tblGrid>
        <w:gridCol w:w="2079"/>
        <w:gridCol w:w="1821"/>
        <w:gridCol w:w="1844"/>
        <w:gridCol w:w="211"/>
        <w:gridCol w:w="976"/>
        <w:gridCol w:w="271"/>
        <w:gridCol w:w="109"/>
        <w:gridCol w:w="109"/>
        <w:gridCol w:w="109"/>
        <w:gridCol w:w="211"/>
        <w:gridCol w:w="976"/>
        <w:gridCol w:w="316"/>
      </w:tblGrid>
      <w:tr>
        <w:trPr/>
        <w:tc>
          <w:tcPr>
            <w:tcW w:w="207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rate per hour)</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1,550,969 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1,391,206 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revenues from prior year</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219,645 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1,262,208 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1,165,495 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segment operating income from prior year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and amortization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Special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244,356 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2"/>
              </w:rPr>
              <w:t>(1)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537,103 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453,750 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gross profit from prior year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margin </w:t>
            </w:r>
            <w:r>
              <w:rPr>
                <w:rFonts w:ascii="Times New Roman;serif" w:hAnsi="Times New Roman;serif"/>
                <w:b w:val="false"/>
                <w:color w:val="000000"/>
                <w:sz w:val="12"/>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EBITDA as a percentage of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billable professionals (at period end)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number of billable professionals from prior year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 rate of billable professionals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billable rate per hour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less direct cost of revenues</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Gross profit as a percentage of revenues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Year Ended December 31, 2025 Compared to December 31, 2024</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increased $159.8 million, or 11.5%, to $1,551.0 million for the year ended December 31, 2025, primarily due to higher demand for our turnaround &amp; restructuring and transactions services, higher realized bill rates for our transformation and transactions services and an increase in success fees, which was partially offset by lower demand for our transformation services and lower realized bill rates for our turnaround &amp; restructuring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increased $83.4 million, or 18.4%, to $537.1 million for the year ended December 31, 2025. Gross profit margin increased 2.0 percentage points from 2024 to 2025. The increase in gross profit margin was primarily due to a 2 percentage point increase in utilization and the impact of higher realized bill rates.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increased $14.7 million, or 6.7%, to $234.4 million for the year ended December 31, 2025. SG&amp;A expenses of 15.1% of revenues in 2025 compared to 15.8% in 2024. The increase in SG&amp;A expenses was primarily due to higher bad debt, outside services, infrastructure support, and other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FORENSIC AND LITIGATION CONSULTING</w:t>
      </w:r>
    </w:p>
    <w:tbl>
      <w:tblPr>
        <w:tblW w:w="9026" w:type="dxa"/>
        <w:jc w:val="center"/>
        <w:tblInd w:w="0" w:type="dxa"/>
        <w:tblLayout w:type="fixed"/>
        <w:tblCellMar>
          <w:top w:w="28" w:type="dxa"/>
          <w:left w:w="28" w:type="dxa"/>
          <w:bottom w:w="28" w:type="dxa"/>
          <w:right w:w="28" w:type="dxa"/>
        </w:tblCellMar>
      </w:tblPr>
      <w:tblGrid>
        <w:gridCol w:w="2079"/>
        <w:gridCol w:w="1821"/>
        <w:gridCol w:w="1844"/>
        <w:gridCol w:w="232"/>
        <w:gridCol w:w="908"/>
        <w:gridCol w:w="298"/>
        <w:gridCol w:w="119"/>
        <w:gridCol w:w="119"/>
        <w:gridCol w:w="119"/>
        <w:gridCol w:w="232"/>
        <w:gridCol w:w="908"/>
        <w:gridCol w:w="347"/>
      </w:tblGrid>
      <w:tr>
        <w:trPr/>
        <w:tc>
          <w:tcPr>
            <w:tcW w:w="207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rate per hour)</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764,687 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690,211 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revenues from prior year</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490,614 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465,026 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146,460 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145,072 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643,464 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612,721 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121,223 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segment operating income from prior year</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and amortization of intangible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Special charges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EBITDA</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135,145 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86,717 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2"/>
              </w:rPr>
              <w:t>(1)</w:t>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274,073 </w:t>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225,185 </w:t>
            </w:r>
          </w:p>
        </w:tc>
        <w:tc>
          <w:tcPr>
            <w:tcW w:w="3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gross profit from prior year</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margin </w:t>
            </w:r>
            <w:r>
              <w:rPr>
                <w:rFonts w:ascii="Times New Roman;serif" w:hAnsi="Times New Roman;serif"/>
                <w:b w:val="false"/>
                <w:color w:val="000000"/>
                <w:sz w:val="12"/>
              </w:rPr>
              <w:t>(2)</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EBITDA as a percentage of revenues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Number of billable professionals (at period end)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347"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number of billable professionals from prior year</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 rate of billable professionals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billable rate per hour</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less direct cost of revenues</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Gross profit as a percentage of revenues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Year Ended December 31, 2025 Compared to December 31, 2024</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increased $74.5 million, or 10.8%, to $764.7 million for the year ended December 31, 2025, primarily due to higher realized bill rates for our risk &amp; investigations, data &amp; analytics and construction solutions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profit increased $48.9 million, or 21.7%, to $274.1 million for the year ended December 31, 2025. Gross profit margin increased 3.2 percentage points from 2024 to 2025. The increase in gross profit margin was primarily due to higher realized bill rates.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increased $1.4 million, or 1.0%, to $146.5 million for the year ended December 31, 2025. SG&amp;A expenses of 19.2% of revenues in 2025 compared to 21.0% in 2024. The increase in SG&amp;A expenses was primarily due to higher compensation and infrastructure support expenses, which was partially offset by favorable litigation settlements.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ECONOMIC CONSULTING</w:t>
      </w:r>
      <w:r>
        <w:rPr>
          <w:color w:val="000000"/>
        </w:rPr>
        <w:t> </w:t>
      </w:r>
    </w:p>
    <w:tbl>
      <w:tblPr>
        <w:tblW w:w="9026" w:type="dxa"/>
        <w:jc w:val="center"/>
        <w:tblInd w:w="0" w:type="dxa"/>
        <w:tblLayout w:type="fixed"/>
        <w:tblCellMar>
          <w:top w:w="28" w:type="dxa"/>
          <w:left w:w="28" w:type="dxa"/>
          <w:bottom w:w="28" w:type="dxa"/>
          <w:right w:w="28" w:type="dxa"/>
        </w:tblCellMar>
      </w:tblPr>
      <w:tblGrid>
        <w:gridCol w:w="2079"/>
        <w:gridCol w:w="1821"/>
        <w:gridCol w:w="1844"/>
        <w:gridCol w:w="232"/>
        <w:gridCol w:w="908"/>
        <w:gridCol w:w="298"/>
        <w:gridCol w:w="119"/>
        <w:gridCol w:w="119"/>
        <w:gridCol w:w="119"/>
        <w:gridCol w:w="232"/>
        <w:gridCol w:w="908"/>
        <w:gridCol w:w="347"/>
      </w:tblGrid>
      <w:tr>
        <w:trPr/>
        <w:tc>
          <w:tcPr>
            <w:tcW w:w="207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 except rate per hour)</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720,829 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863,557 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revenues from prior year</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578,473 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628,424 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122,579 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131,035 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702,035 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759,467 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18,794 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104,090 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segment operating income from prior year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of property and equipment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Special charges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EBITDA</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25,079 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109,498 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2"/>
              </w:rPr>
              <w:t>(1)</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142,356 </w:t>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235,133 </w:t>
            </w:r>
          </w:p>
        </w:tc>
        <w:tc>
          <w:tcPr>
            <w:tcW w:w="3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gross profit from prior year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margin </w:t>
            </w:r>
            <w:r>
              <w:rPr>
                <w:rFonts w:ascii="Times New Roman;serif" w:hAnsi="Times New Roman;serif"/>
                <w:b w:val="false"/>
                <w:color w:val="000000"/>
                <w:sz w:val="12"/>
              </w:rPr>
              <w:t>(2)</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EBITDA as a percentage of revenues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billable professionals (at period end)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347"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number of billable professionals from prior year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 rate of billable professionals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billable rate per hour</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less direct cost of revenues</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Gross profit as a percentage of revenues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Year Ended December 31, 2025 Compared to December 31, 2024</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decreased $142.7 million, or 16.5%, to $720.8 million for the year ended December 31, 2025, which included a 1.2% estimated positive impact from FX. Excluding the estimated impact from FX, revenues decreased $153.5 million, or 17.8%. The decrease in revenues was primarily due to lower demand for our M&amp;A-related antitrust and non-M&amp;A-related antitrust services, which was partially offset by higher demand for our financial economics services, as well as higher realized bill rates for our non-M&amp;A-related antitrust and M&amp;A-related antitrust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profit decreased $92.8 million, or 39.5%, to $142.4 million for the year ended December 31, 2025. Gross profit margin decreased 7.5 percentage points from 2024 to 2025. The decrease in gross profit margin was primarily due to a 7 percentage point decrease in utilization and higher forgivable loan amortization expenses, which was partially offset by higher realized bill rates for our non-M&amp;A-related antitrust and M&amp;A-related antitrust services and lower compensation expenses, including the impact of an 8.6% decline in billable headcount.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decreased $8.5 million, or 6.5%, to $122.6 million for the year ended December 31, 2025, which included a 1.3% estimated negative impact from FX. SG&amp;A expenses of 17.0% of revenues in 2025 compared to 15.2% of revenues in 2024. The decrease in SG&amp;A expenses was primarily driven by lower bad debt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TECHNOLOGY</w:t>
      </w:r>
    </w:p>
    <w:tbl>
      <w:tblPr>
        <w:tblW w:w="8732" w:type="dxa"/>
        <w:jc w:val="center"/>
        <w:tblInd w:w="0" w:type="dxa"/>
        <w:tblLayout w:type="fixed"/>
        <w:tblCellMar>
          <w:top w:w="28" w:type="dxa"/>
          <w:left w:w="28" w:type="dxa"/>
          <w:bottom w:w="28" w:type="dxa"/>
          <w:right w:w="28" w:type="dxa"/>
        </w:tblCellMar>
      </w:tblPr>
      <w:tblGrid>
        <w:gridCol w:w="2079"/>
        <w:gridCol w:w="1821"/>
        <w:gridCol w:w="1844"/>
        <w:gridCol w:w="211"/>
        <w:gridCol w:w="826"/>
        <w:gridCol w:w="271"/>
        <w:gridCol w:w="109"/>
        <w:gridCol w:w="109"/>
        <w:gridCol w:w="109"/>
        <w:gridCol w:w="211"/>
        <w:gridCol w:w="826"/>
        <w:gridCol w:w="316"/>
      </w:tblGrid>
      <w:tr>
        <w:trPr/>
        <w:tc>
          <w:tcPr>
            <w:tcW w:w="207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revenues from prior year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272,519 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segment operating income from prior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Special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2"/>
              </w:rPr>
              <w:t>(1)</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123,937 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145,118 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gross profit from prior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margin </w:t>
            </w:r>
            <w:r>
              <w:rPr>
                <w:rFonts w:ascii="Times New Roman;serif" w:hAnsi="Times New Roman;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EBITDA as a percentage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Number of billable professionals (at period end) </w:t>
            </w:r>
            <w:r>
              <w:rPr>
                <w:rFonts w:ascii="Times New Roman;serif" w:hAnsi="Times New Roman;serif"/>
                <w:b w:val="false"/>
                <w:color w:val="000000"/>
                <w:sz w:val="12"/>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number of billable professionals from prior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less direct cost of revenues</w:t>
      </w:r>
    </w:p>
    <w:p>
      <w:pPr>
        <w:pStyle w:val="TextBody"/>
        <w:bidi w:val="0"/>
        <w:spacing w:lineRule="auto" w:line="288" w:before="0" w:after="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Gross profit as a percentage of revenues</w:t>
      </w:r>
    </w:p>
    <w:p>
      <w:pPr>
        <w:pStyle w:val="TextBody"/>
        <w:bidi w:val="0"/>
        <w:spacing w:lineRule="auto" w:line="288" w:before="0" w:after="18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Includes personnel involved in direct client assistance and billable consultants and excludes professionals employed on an as-needed basis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Year Ended December 31, 2025 Compared to December 31, 2024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decreased $43.8 million, or 10.5%, to $373.9 million for the year ended December 31, 2025, primarily due to lower demand for our M&amp;A-related “second request”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profit decreased $21.2 million, or 14.6%, to $123.9 million for the year ended December 31, 2025. Gross profit margin decreased 1.6 percentage points from 2024 to 2025. The decrease in gross profit margin was primarily due to lower profitability of our processing, hosting and managed review services, primarily resulting from the decline in revenues from our M&amp;A-related “second request” services, which was partially offset by an increase in profitability of our consulting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decreased $8.7 million, or 8.5%, to $93.9 million for the year ended December 31, 2025. SG&amp;A expenses of 25.1% of revenues in 2025 compared with 24.6% of revenues in 2024. The decrease in SG&amp;A expenses was primarily due to lower compensation, travel and entertainment and outside services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STRATEGIC COMMUNICATIONS</w:t>
      </w:r>
    </w:p>
    <w:tbl>
      <w:tblPr>
        <w:tblW w:w="9222" w:type="dxa"/>
        <w:jc w:val="center"/>
        <w:tblInd w:w="0" w:type="dxa"/>
        <w:tblLayout w:type="fixed"/>
        <w:tblCellMar>
          <w:top w:w="28" w:type="dxa"/>
          <w:left w:w="28" w:type="dxa"/>
          <w:bottom w:w="28" w:type="dxa"/>
          <w:right w:w="28" w:type="dxa"/>
        </w:tblCellMar>
      </w:tblPr>
      <w:tblGrid>
        <w:gridCol w:w="2079"/>
        <w:gridCol w:w="1821"/>
        <w:gridCol w:w="1844"/>
        <w:gridCol w:w="211"/>
        <w:gridCol w:w="826"/>
        <w:gridCol w:w="271"/>
        <w:gridCol w:w="109"/>
        <w:gridCol w:w="109"/>
        <w:gridCol w:w="109"/>
        <w:gridCol w:w="211"/>
        <w:gridCol w:w="826"/>
        <w:gridCol w:w="806"/>
      </w:tblGrid>
      <w:tr>
        <w:trPr/>
        <w:tc>
          <w:tcPr>
            <w:tcW w:w="207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336,041 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revenues from prior year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213,301 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76,378 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290,251 </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45,790 </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675"/>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segment operating income from prior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and 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Special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8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49,969 </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w:t>
            </w:r>
            <w:r>
              <w:rPr>
                <w:rFonts w:ascii="Times New Roman;serif" w:hAnsi="Times New Roman;serif"/>
                <w:b w:val="false"/>
                <w:color w:val="000000"/>
                <w:sz w:val="12"/>
              </w:rPr>
              <w:t>(1)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122,740 </w:t>
            </w:r>
          </w:p>
        </w:tc>
        <w:tc>
          <w:tcPr>
            <w:tcW w:w="8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gross profit from prior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margin </w:t>
            </w:r>
            <w:r>
              <w:rPr>
                <w:rFonts w:ascii="Times New Roman;serif" w:hAnsi="Times New Roman;serif"/>
                <w:b w:val="false"/>
                <w:color w:val="000000"/>
                <w:sz w:val="12"/>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EBITDA as a percentage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billable professionals (at period end)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806"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number of billable professionals from prior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less direct cost of revenues</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Gross profit as a percentage of revenues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Year Ended December 31, 2025 Compared to December 31, 2024</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increased $42.4 million, or 12.6%, to $378.5 million for the year ended December 31, 2025, which included a 1.5% estimated positive impact from FX. Excluding the estimated impact from FX, revenues increased $37.4 million, or 11.1%, primarily due to higher demand for our corporate reputation services and an $18.2 million increase in pass-through revenues.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Gross profit increased $17.3 million, or 14.1%, to $140.0 million for the year ended December 31, 2025. Gross profit margin increased 0.5 percentage points from 2024 to 2025. The increase in gross profit margin was primarily due to lower compensation expenses as a percentage of revenues, which included a 7.5% decline in billable headcount. This increase was partially offset by higher pass-through revenues and expenses.</w:t>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expenses were flat over the prior year period at $76.4 million for the year ended December 31, 2025, which included a 1.7% estimated negative impact from FX. SG&amp;A expenses were 20.2% of revenues in 2025 compared to 22.7%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annual cash flows from operations generally exceed our cash needs for capital expenditures and debt service requirements. We typically finance our day-to-day operations, capital expenditures, acquisitions and share repurchases through cash flows from operations. We believe that our cash flows from operations, supplemented by borrowings under our Credit Facility, as necessary, will provide adequate cash to fund our cash needs for at least the next 12 months.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operating assets and liabilities consist primarily of billed and unbilled accounts receivable, notes receivable from employees, accounts payable, accrued expenses and accrued compensation expenses. The timing of billings and collections of receivables, as well as compensation and vendor payments, affects the changes in these balances.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Results of operations for our non-U.S. subsidiaries are translated from the designated functional currency to our reporting currency of USD. Revenues and expenses are translated at average exchange rates for each month, while assets and liabilities are translated at balance sheet date exchange rates and certain equity transactions are translated at historical rates. Resulting net translation adjustments are recorded as a component of stockholders’ equity in “Accumulated other comprehensive loss.”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Uncertainties and Trends Affecting Liquidity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conclusion that we will be able to fund our cash requirements for at least the next 12 months by using existing capital resources and cash generated from operations does not take into account events beyond our control that could result in a material adverse impact on our business, the impact of any future acquisitions or unexpected significant changes in the number of employees or other unanticipated uses of cash. The anticipated cash needs of our business could change significantly if we pursue and complete additional business acquisitions, if our business plans change, if events such as economic, political and workforce disruptions arise, including any impact of future public health crises, or economic, political or business conditions change from those currently prevailing or from those now anticipated, or if unexpected circumstances or other events beyond our control arise that may have a material adverse effect on the cash flow or profitability of our business, including material negative changes in the health and welfare of our employees or those of our clients, and the operating performance or financial results of our business. Any of these events or circumstances, including any new business opportunities, could involve significant additional funding and could require us to borrow under our Credit Facility or raise additional debt or equity funding to meet those needs. Our ability to borrow or raise additional capital, if necessary, is subject to a variety of factors that we cannot predict with certainty, including:</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future profitability;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quality of our accounts receivable;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relative levels of debt and equity;</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volatility and overall condition of the capital markets; and</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the market prices of our securities.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new debt funding, if available, may be on terms less favorable to us than our Credit Facility. See information under the heading “Risk Factors” in Part I, Item 1A of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Flows</w:t>
      </w:r>
    </w:p>
    <w:tbl>
      <w:tblPr>
        <w:tblW w:w="7823" w:type="dxa"/>
        <w:jc w:val="center"/>
        <w:tblInd w:w="0" w:type="dxa"/>
        <w:tblLayout w:type="fixed"/>
        <w:tblCellMar>
          <w:top w:w="28" w:type="dxa"/>
          <w:left w:w="28" w:type="dxa"/>
          <w:bottom w:w="28" w:type="dxa"/>
          <w:right w:w="28" w:type="dxa"/>
        </w:tblCellMar>
      </w:tblPr>
      <w:tblGrid>
        <w:gridCol w:w="1842"/>
        <w:gridCol w:w="1616"/>
        <w:gridCol w:w="1626"/>
        <w:gridCol w:w="211"/>
        <w:gridCol w:w="901"/>
        <w:gridCol w:w="109"/>
        <w:gridCol w:w="109"/>
        <w:gridCol w:w="109"/>
        <w:gridCol w:w="109"/>
        <w:gridCol w:w="211"/>
        <w:gridCol w:w="826"/>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Cash Flows</w:t>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50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DSO </w:t>
            </w:r>
            <w:r>
              <w:rPr>
                <w:rFonts w:ascii="Times New Roman;serif" w:hAnsi="Times New Roman;serif"/>
                <w:b w:val="false"/>
                <w:color w:val="000000"/>
                <w:sz w:val="12"/>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540"/>
        <w:jc w:val="left"/>
        <w:rPr/>
      </w:pPr>
      <w:r>
        <w:rPr>
          <w:rFonts w:ascii="Times New Roman;serif" w:hAnsi="Times New Roman;serif"/>
          <w:b w:val="false"/>
          <w:color w:val="000000"/>
          <w:sz w:val="13"/>
        </w:rPr>
        <w:t>(1)</w:t>
      </w:r>
      <w:r>
        <w:rPr>
          <w:rFonts w:ascii="Times New Roman;serif" w:hAnsi="Times New Roman;serif"/>
          <w:b w:val="false"/>
          <w:color w:val="000000"/>
          <w:sz w:val="20"/>
        </w:rPr>
        <w:t>DSO is a performance measure used to assess how quickly revenues are collected by the Company. We calculate DSO at the end of each reporting period by dividing accounts receivable, net reduced by billings in excess of services provided, by revenues for the quarter, adjusted for changes in foreign exchange rates. We multiply the result by the number of days in the quarter.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Year Ended December 31, 2025 Compared to December 31, 2024</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decreased $243.0 million to $152.1 million compared to $395.1 million for the year ended December 31, 2024. The decrease in net cash provided by operating activities was primarily due to higher forgivable loan issuances, compensation payments and income tax payments, which was partially offset by an increase in cash collections. DSO was 88 and 97 days as of December 31, 2025 and 2024, respectively.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$48.4 million to $58.5 million compared to $10.2 million for the year ended December 31, 2024. The increase in net cash used in investing activities was due to a $23.1 million increase in capital expenditures, primarily related to higher spend on leasehold improvements as compared to the year ended December 31, 2024, as well as the prior year maturity of a short-term investment of $25.2 million, which created an inflow in the comparative prior year period.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$495.1 million to $510.5 million compared to $15.4 million for the year ended December 31, 2024. The increase in net cash used in financing activities was primarily due to an increase of $848.5 million in payments for common stock repurchases under the Repurchase Program, which was partially offset by an increase in net borrowings of $365.0 million under our Credit Facility compared to the year ended December 31, 2024.</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effect of exchange rate changes on cash and cash equivalents had a favorable impact of $21.5 million for the year ended December 31, 2025 compared to an unfavorable impact of $12.3 million for the year ended December 31, 2024.</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and tax credits, net of tax refunds, included $28.9 million and $40.6 million of payments for the purchase of tax credits during the years ended December 31, 2025 and 2024,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Principal Sources of Capital Resources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capital resources included $265.1 million of cash and cash equivalents and available borrowing capacity of $535.0 million under the revolving line of credit under our Credit Facility. The $900.0 million revolving line of credit under our Credit Facility includes a $125.0 million sublimit for borrowings in currencies other than USD, including the euro, British pound, Australian dollar, Canadian dollar, Swiss franc and Japanese yen.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availability of borrowings, as well as issuances and extensions of letters of credit under our Credit Facility, are subject to specified conditions. Subject to certain conditions, at any time prior to maturity, we will be able to invite existing and new lenders to increase the size of the facility up to a maximum of $1.2 billion. See Note 13, “Debt” in Part II, Item 8, of this Annual Report for a further discussion of variable interest rates and guarantees under the Credit Facility.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second amended and restated credit agreement entered into on November 21, 2022 (the “Credit Agreement”) governing the Credit Facility and our other indebtedness outstanding from time to time contains covenants that, among other things, may limit our ability to: incur additional indebtedness; create liens; pay dividends on our capital stock, make distributions or repurchases of our capital stock or make specified other restricted payments; consolidate, merge or sell all or substantially all of our assets; guarantee obligations of other entities or our foreign subsidiaries; enter into hedging agreements; enter into transactions with affiliates or related persons; or engage in any business other than consulting-related businesses. In addition, the Credit Agreement includes a financial covenant that requires us not to exceed a maximum consolidated total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leverage ratio (the ratio of funded debt (less unrestricted cash up to $300.0 million) to Consolidated EBITDA, as defined in the Credit Agreement). As of December 31, 2025, we were in compliance with the covenants contained in the Credit Agreement. See Note 13, “Debt” in Part II, Item 8 of this Annual Report for a further discussion of the Credit Agreement.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Principal Uses of Capital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Capital Requirements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anticipate that our future capital requirements will principally consist of funds required for:</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operating and general corporate expenses;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capital expenditures, primarily for information technology equipment and systems, office furniture and leasehold improvements;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debt service requirements, including interest payments;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compensation to designated executive management and senior managing directors under our various long-term incentive compensation programs, including forgivable loans;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discretionary funding of the Repurchase Program;</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contingent obligations related to our acquisitions;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potential acquisitions of businesses; and</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other known future contractual obligations.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2025, we spent $58.5 million in capital expenditures to support our organization. During 2026, we currently expect to make capital expenditures to support our organization in an aggregate amount of between $48 million and $58 million. Our estimate takes into consideration the needs of our existing businesses but does not include the impact of any expenditures that we may be required to make as a result of future acquisitions or specific client engagements that are not completed or not currently contemplated. Our capital expenditure requirements may change if our staffing levels or technology needs change significantly from what we currently anticipate, if we are required to purchase additional equipment specifically to support new client engagements or if we pursue and complete acquisitions.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made $858.7 million in payments, including commissions, for common stock repurchases under the Repurchase Program. We had $491.8 million remaining under the Repurchase Program to repurchase additional shares as of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Contractual Obligations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contractual obligations as of December 31, 2025 include long-term obligations of $365.0 million related to outstanding borrowings under our Credit Facility. For more information on our Credit Facility, refer to Note 13, “Debt” in Part II, Item 8 of this Annual Report. Under our operating leases as described in Note 14, “Leases” in Part II, Item 8 of this Annual Report, we have current obligations of $37.2 million and non-current obligations of $224.5 million as of December 31,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above amounts reflect future unconditional payments and are based on the terms of the relevant agreements, appropriate classification of items under GAAP currently in effect and certain assumptions such as interest rates. Future events could cause actual payments to differ from these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21, 2025, we entered into a material lease agreement to accept possession of three leases (the “Leases”) for our new office space in London, England. We expect to accept possession of the premises on or about September 25, 2027, subject to the satisfaction of certain conditions. The Leases will have a fixed term of 15 years, subject to a break option allowing the tenant, which is a wholly-owned subsidiary of the Company, to terminate the Leases at the end of the 10th year. At the end of the initial 15-year term, the tenant has a one-time contractual right to renew each of the Leases for a term of either five years or ten years. Fixed rental payments under the Leases are scheduled to commence in February 2028, payable in quarterly installments, and will aggregate to approximately $115.0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we were contingently liable under bank guarantees issued in favor of third parties that totaled $17.5 million and $10.9 million, respectively. These bank guarantees primarily support bid and performance obligations and operating leases for office space. The amounts are guaranteed under guarantee facilities totaling $32.5 million and $42.7 million as of December 31, 2025 and 2024, respectively. We had $15.0 million and $31.8 million available under the guarantee facilities as of December 31, 2025 and 2024, respectively. These bank guarantees are issued separately from our Credit Facility and, as a result, do not affect available borrowing capacity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540"/>
        <w:jc w:val="left"/>
        <w:rPr/>
      </w:pPr>
      <w:r>
        <w:rPr>
          <w:rFonts w:ascii="Times New Roman;serif" w:hAnsi="Times New Roman;serif"/>
          <w:b/>
          <w:i/>
          <w:color w:val="000000"/>
          <w:sz w:val="20"/>
        </w:rPr>
        <w:t xml:space="preserve">General. </w:t>
      </w:r>
      <w:r>
        <w:rPr>
          <w:rFonts w:ascii="Times New Roman;serif" w:hAnsi="Times New Roman;serif"/>
          <w:b w:val="false"/>
          <w:color w:val="000000"/>
          <w:sz w:val="20"/>
        </w:rPr>
        <w:t>Our discussion and analysis of our financial condition and results of operations are based on our consolidated financial statements, which we have prepared in accordance with GAAP. The preparation of these financial statements requires us to make estimates and judgments that affect the reported amounts of assets, liabilities, revenues and expenses and related disclosure of contingent assets and liabilities. Refer to Note 1, “Description of Business and Summary of Significant Accounting Policies” in Part II, Item 8 of this Annual Report for further information on our significant accounting policies.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evaluate our estimates, including those related to revenues, goodwill and intangible assets, income taxes and contingencies, on an ongoing basis. Our estimates are based on current facts and circumstances, historical experience and various other assumptions that we believe are reasonable, which form the basis for making judgments about the values of assets and liabilities that are not readily apparent from other sources. Actual results may differ from these estimates under different assumptions or conditions.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the following critical accounting estimates reflect our more significant judgments used in the preparation of our consolidated financial statements.</w:t>
      </w:r>
    </w:p>
    <w:p>
      <w:pPr>
        <w:pStyle w:val="TextBody"/>
        <w:bidi w:val="0"/>
        <w:spacing w:lineRule="auto" w:line="288" w:before="0" w:after="180"/>
        <w:ind w:left="0" w:right="0" w:firstLine="540"/>
        <w:jc w:val="left"/>
        <w:rPr/>
      </w:pPr>
      <w:r>
        <w:rPr>
          <w:rFonts w:ascii="Times New Roman;serif" w:hAnsi="Times New Roman;serif"/>
          <w:b/>
          <w:i/>
          <w:color w:val="000000"/>
          <w:sz w:val="20"/>
        </w:rPr>
        <w:t>Revenue Recognition.</w:t>
      </w:r>
      <w:r>
        <w:rPr>
          <w:color w:val="000000"/>
        </w:rPr>
        <w:t xml:space="preserve"> </w:t>
      </w:r>
      <w:r>
        <w:rPr>
          <w:rFonts w:ascii="Times New Roman;serif" w:hAnsi="Times New Roman;serif"/>
          <w:b w:val="false"/>
          <w:color w:val="000000"/>
          <w:sz w:val="20"/>
        </w:rPr>
        <w:t>We generate the majority of our revenues by providing consulting services to our clients. We recognize revenues primarily from three different types of arrangements: time and expense, fixed-fee and performance-based or contingent arrangements.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fees in our time and expense arrangements may be subject to approval by a third-party, such as a bankruptcy court or other regulatory agency. In such cases, we record revenues based on the amount we estimate we will be entitled to receive in exchange for our services and only to the extent a significant reversal of revenues is not likely to occur when the uncertainty associated with the estimate is subsequently resolved.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fixed-fee arrangements, we agree to a pre-established fee in exchange for a predetermined set of professional services. We estimate revenues using a proportional performance method, which is based on work completed to-date versus our estimates of the total services to be performed over the life of the contract.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performance-based or contingent arrangements, fees are based on contractually defined objectives, such as completing a business transaction or assisting the client in achieving a specific business objective. Variable consideration to be included in the transaction price is typically estimated using the expected value method or the most likely amount method based on facts and circumstances. We recognize revenues earned in an amount that is probable not to reverse and by applying the proportional performance method when the criteria for over time revenue recognition are met.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estimates are monitored continually throughout the life of each contract and are based on the nature of the engagement, client economics, historical experiences, available information and other appropriate factors. While we believe that our estimates and assumptions used for revenue recognition are reasonable, subsequent changes could materially impact our results of operations.</w:t>
      </w:r>
    </w:p>
    <w:p>
      <w:pPr>
        <w:pStyle w:val="TextBody"/>
        <w:bidi w:val="0"/>
        <w:spacing w:lineRule="auto" w:line="288" w:before="0" w:after="180"/>
        <w:ind w:left="0" w:right="0" w:firstLine="540"/>
        <w:jc w:val="left"/>
        <w:rPr/>
      </w:pPr>
      <w:r>
        <w:rPr>
          <w:rFonts w:ascii="Times New Roman;serif" w:hAnsi="Times New Roman;serif"/>
          <w:b/>
          <w:i/>
          <w:color w:val="000000"/>
          <w:sz w:val="20"/>
        </w:rPr>
        <w:t xml:space="preserve">Goodwill and Intangible Assets. </w:t>
      </w:r>
      <w:r>
        <w:rPr>
          <w:rFonts w:ascii="Times New Roman;serif" w:hAnsi="Times New Roman;serif"/>
          <w:b w:val="false"/>
          <w:color w:val="000000"/>
          <w:sz w:val="20"/>
        </w:rPr>
        <w:t>We evaluate our goodwill and indefinite-lived intangible assets for impairment annually as of the first day of the fourth quarter and whenever events or changes in circumstances indicate that the carrying value of an asset may not be recoverable. We assess our goodwill for impairment at the reporting unit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part of the evaluation of goodwill and intangible assets for potential impairment, we exercise judgment to:</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Perform a qualitative assessment to determine whether it is “more likely than not” that the fair value of a reporting unit is less than it’s carrying value. Factors we consider when making the determination include assessing macroeconomic conditions, industry and market considerations, cost factors, overall financial performance, and other relevant reporting unit specific events;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Decide whether to bypass the qualitative assessment and perform a quantitative assessment. Factors we consider when making this determination include changes in the Company or general economic conditions since the previous quantitative assessment was performed, the amount by which the fair value exceeded the carrying value at that time and the period of time that has passed since such quantitative assessment; and</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Perform a quantitative assessment by comparing the estimated fair value of the reporting unit with the carrying amount of that reporting unit. We estimate fair value using a combination of an income approach (based on discounted cash flows) and market approach, using appropriate weighting factors.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cash flows employed in the income approach are based on our most recent forecasts, budgets and business plans, as well as various growth rate assumptions for years beyond the current business plan period, discounted using an estimated weighted average cost of capital, which reflects an assessment of the risk inherent in the future revenue streams and cash flows. In the market approach, we utilize market multiples derived from comparable guideline companies. These valuations are based on estimates and assumptions, including projected future cash flows, determination of appropriate comparable guideline companies and the determination of whether a premium or discount should be applied to such comparable guideline companies.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process of evaluating the potential impairment of goodwill requires significant judgment and estimates. In 2025, we performed our annual impairment tests for each of our reporting units. The results of that test indicated that for each of our reporting units, no impairment existed. If market conditions significantly deteriorate from our current assumptions regarding forecasted cash flows, we may be required to record goodwill impairment charges in future periods. It is not possible at this time to determine if any future impairment charge would result or, if it does, whether such charge would be material.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are reviewed for impairment whenever events or changes in circumstances indicate that the carrying amount of an asset may not be recoverable. These events or changes in circumstances may include a significant deterioration of operating results, changes in business plans or changes in anticipated future cash flows. If an impairment indicator is present, we evaluate recoverability of assets to be held and used by a comparison of the carrying value of the assets with future undiscounted net cash flows expected to be generated by the assets. We group assets at the lowest level for which there are identifiable cash flows that are largely independent of the cash flows generated by other asset groups. If the total of the expected undiscounted future cash flows is less than the carrying amount of the asset group, we estimate the fair value of the asset group to determine whether an impairment loss should be recognized. No impairment charges for intangible assets were recorded in 2025.</w:t>
      </w:r>
    </w:p>
    <w:p>
      <w:pPr>
        <w:pStyle w:val="TextBody"/>
        <w:bidi w:val="0"/>
        <w:spacing w:lineRule="auto" w:line="288" w:before="0" w:after="180"/>
        <w:ind w:left="0" w:right="0" w:firstLine="540"/>
        <w:jc w:val="left"/>
        <w:rPr/>
      </w:pPr>
      <w:r>
        <w:rPr>
          <w:rFonts w:ascii="Times New Roman;serif" w:hAnsi="Times New Roman;serif"/>
          <w:b/>
          <w:i/>
          <w:color w:val="000000"/>
          <w:sz w:val="20"/>
        </w:rPr>
        <w:t>Income Taxes.</w:t>
      </w:r>
      <w:r>
        <w:rPr>
          <w:color w:val="000000"/>
        </w:rPr>
        <w:t xml:space="preserve"> </w:t>
      </w:r>
      <w:r>
        <w:rPr>
          <w:rFonts w:ascii="Times New Roman;serif" w:hAnsi="Times New Roman;serif"/>
          <w:b w:val="false"/>
          <w:color w:val="000000"/>
          <w:sz w:val="20"/>
        </w:rPr>
        <w:t>As part of the process of preparing our consolidated financial statements, we estimate our income taxes for each of our legal entities in its respective jurisdiction. Differences which are temporary in nature result in deferred tax assets and liabilities. Significant judgment is required in determining our provision for income taxes, our deferred tax assets and liabilities and any valuation allowance recorded against our deferred tax assets.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Subsequent to the initial recognition of deferred tax assets, we assess the likelihood that such deferred tax assets will be realized. We weigh all available positive and negative evidence, including scheduled reversals of temporary differences, projected future taxable income, tax planning strategies and historical results of operations, and if we determine that we may not fully derive the benefit from a deferred tax asset, we consider whether it would be appropriate to apply a valuation allowance against the applicable deferred tax asset. The weight we give to any particular item is, in part, dependent upon the degree to which it can be objectively verified. Pre-tax operating losses on a three-year cumulative basis or lack of sustainable profitability are considered objectively verifiable evidence and will generally outweigh a projection of future taxable income.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of our legal entities have individually experienced operating losses on a three-year cumulative basis or have tax attributes that we have determined may expire unused. In addition, some of our legal entities have recorded a valuation allowance on all or a portion of their deferred tax assets due to the combined effect of operating losses in certain subsidiaries of these entities. Based on all available evidence, we have determined that there is not available objective evidence of a greater than 50% likelihood that the deferred tax assets held by these entities will be realized. Consequently, we have recorded valuation allowances on the deferred tax assets held by these entities as of December 31, 2025. Refer to Note 16, “Income Taxes” in Part II, Item 8 of this Annual Report for further information on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primarily from changes in interest rates and foreign exchange rates.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 associated with borrowings under our Credit Facility. For details related to variable interest rates on our Credit Facility, refer to Note 13, “Debt” in Part II, Item 8 of this Annual Report. We had $365.0 million of outstanding borrowings under our Credit Facility as of December 31, 2025. Variable interest borrowings had a weighted average interest rate of 5.81% during the twelve months ended December 31, 2025. A hypothetical 100 basis point increase in interest rate for the year ended December 31, 2025 would have a $3.3 million effect on interest expense. We had no outstanding borrowings under our Credit Facility as of December 31, 2024. Variable interest borrowings had a weighted average interest rate of 7.45% during the twelve months ended December 31, 2024. A hypothetical 100 basis point increase in interest rate for the year ended December 31, 2024 would have a $0.6 million effect on interest expense. Future interest rate risk may be affected by revolving line of credit borrowings subsequent to December 31, 2025 and prior to the November 21, 2027 maturity date of our Credit Facility.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Foreign Currency Exchange Rate Risk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Exchange Rate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FX exposure primarily relates to intercompany receivables and payables and third-party receivables and payables that are denominated in currencies other than the functional currency of our legal entities. Our largest FX exposure is unsettled intercompany payables and receivables, which are reviewed on a regular basis. In cases where settlement of intercompany balances is not practical, we may use cash to create offsetting currency positions to reduce exposure. Gains and losses from FX transactions are included in interest income and other on our Consolidated Statements of Comprehensive Income. See Note 8, “Interest Income and Other” in Part II, Item 8 of this Annual Report for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Translation of Financial Results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our foreign subsidiaries operate in a currency other than USD; therefore, increases or decreases in the value of USD against other major currencies will affect our operating results and the value of our balance sheet items denominated in foreign currencies. Our most significant exposures to translation risk relate to functional currency assets and liabilities that are denominated in the Euro, Australian dollar, British pound and Canadian dollar. The following table details the unrealized changes in the net investments of foreign subsidiaries whose currencies are denominated in currencies other than USD for the years ended December 31, 2025 and 2024. These translation adjustments are reflected in “Other comprehensive income (loss)” on our Consolidated Statements of Comprehensive Income.</w:t>
      </w:r>
    </w:p>
    <w:tbl>
      <w:tblPr>
        <w:tblW w:w="6512" w:type="dxa"/>
        <w:jc w:val="left"/>
        <w:tblInd w:w="0" w:type="dxa"/>
        <w:tblLayout w:type="fixed"/>
        <w:tblCellMar>
          <w:top w:w="28" w:type="dxa"/>
          <w:left w:w="28" w:type="dxa"/>
          <w:bottom w:w="28" w:type="dxa"/>
          <w:right w:w="28" w:type="dxa"/>
        </w:tblCellMar>
      </w:tblPr>
      <w:tblGrid>
        <w:gridCol w:w="1362"/>
        <w:gridCol w:w="1200"/>
        <w:gridCol w:w="1203"/>
        <w:gridCol w:w="211"/>
        <w:gridCol w:w="721"/>
        <w:gridCol w:w="109"/>
        <w:gridCol w:w="109"/>
        <w:gridCol w:w="109"/>
        <w:gridCol w:w="109"/>
        <w:gridCol w:w="211"/>
        <w:gridCol w:w="796"/>
        <w:gridCol w:w="109"/>
        <w:gridCol w:w="109"/>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Changes in Net Investment of Foreign Subsidiaries</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FTI Consulting, Inc.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INDEX</w:t>
      </w:r>
    </w:p>
    <w:tbl>
      <w:tblPr>
        <w:tblW w:w="9076" w:type="dxa"/>
        <w:jc w:val="left"/>
        <w:tblInd w:w="0" w:type="dxa"/>
        <w:tblLayout w:type="fixed"/>
        <w:tblCellMar>
          <w:top w:w="28" w:type="dxa"/>
          <w:left w:w="28" w:type="dxa"/>
          <w:bottom w:w="28" w:type="dxa"/>
          <w:right w:w="28" w:type="dxa"/>
        </w:tblCellMar>
      </w:tblPr>
      <w:tblGrid>
        <w:gridCol w:w="3099"/>
        <w:gridCol w:w="2730"/>
        <w:gridCol w:w="2736"/>
        <w:gridCol w:w="149"/>
        <w:gridCol w:w="149"/>
        <w:gridCol w:w="213"/>
      </w:tblGrid>
      <w:tr>
        <w:trPr/>
        <w:tc>
          <w:tcPr>
            <w:tcW w:w="3099"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Management’s Report on Internal Control over Financial Reporting</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5434ecf797264d4bb379b2a399b74d2c_94">
              <w:r>
                <w:rPr>
                  <w:rStyle w:val="InternetLink"/>
                  <w:rFonts w:ascii="Times New Roman;serif" w:hAnsi="Times New Roman;serif"/>
                  <w:b w:val="false"/>
                  <w:color w:val="0000FF"/>
                  <w:sz w:val="20"/>
                  <w:u w:val="single"/>
                </w:rPr>
                <w:t>53</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Report of Independent Registered Public Accounting Firm — Internal Control over Financial Reporting</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100">
              <w:r>
                <w:rPr>
                  <w:rStyle w:val="InternetLink"/>
                  <w:rFonts w:ascii="Times New Roman;serif" w:hAnsi="Times New Roman;serif"/>
                  <w:b w:val="false"/>
                  <w:color w:val="0000FF"/>
                  <w:sz w:val="20"/>
                  <w:u w:val="single"/>
                </w:rPr>
                <w:t>56</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Report of Independent Registered Public Accounting Firm — Consolidated Financial Statements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97">
              <w:r>
                <w:rPr>
                  <w:rStyle w:val="InternetLink"/>
                  <w:rFonts w:ascii="Times New Roman;serif" w:hAnsi="Times New Roman;serif"/>
                  <w:b w:val="false"/>
                  <w:color w:val="0000FF"/>
                  <w:sz w:val="20"/>
                  <w:u w:val="single"/>
                </w:rPr>
                <w:t>54</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Balance Sheets — December 31, 2025 and 2024</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103">
              <w:r>
                <w:rPr>
                  <w:rStyle w:val="InternetLink"/>
                  <w:rFonts w:ascii="Times New Roman;serif" w:hAnsi="Times New Roman;serif"/>
                  <w:b w:val="false"/>
                  <w:color w:val="0000FF"/>
                  <w:sz w:val="20"/>
                  <w:u w:val="single"/>
                </w:rPr>
                <w:t>57</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Comprehensive Income — Years Ended December 31, 2025, 2024 and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106">
              <w:r>
                <w:rPr>
                  <w:rStyle w:val="InternetLink"/>
                  <w:rFonts w:ascii="Times New Roman;serif" w:hAnsi="Times New Roman;serif"/>
                  <w:b w:val="false"/>
                  <w:color w:val="0000FF"/>
                  <w:sz w:val="20"/>
                  <w:u w:val="single"/>
                </w:rPr>
                <w:t>58</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Stockholders’ Equity — Years Ended December 31, 2025, 2024 and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112">
              <w:r>
                <w:rPr>
                  <w:rStyle w:val="InternetLink"/>
                  <w:rFonts w:ascii="Times New Roman;serif" w:hAnsi="Times New Roman;serif"/>
                  <w:b w:val="false"/>
                  <w:color w:val="0000FF"/>
                  <w:sz w:val="20"/>
                  <w:u w:val="single"/>
                </w:rPr>
                <w:t>59</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Statements of Cash Flows — Years Ended December 31, 2025, 2024 and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115">
              <w:r>
                <w:rPr>
                  <w:rStyle w:val="InternetLink"/>
                  <w:rFonts w:ascii="Times New Roman;serif" w:hAnsi="Times New Roman;serif"/>
                  <w:b w:val="false"/>
                  <w:color w:val="0000FF"/>
                  <w:sz w:val="20"/>
                  <w:u w:val="single"/>
                </w:rPr>
                <w:t>60</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 to Consolidated Financial Statements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4ecf797264d4bb379b2a399b74d2c_118">
              <w:r>
                <w:rPr>
                  <w:rStyle w:val="InternetLink"/>
                  <w:rFonts w:ascii="Times New Roman;serif" w:hAnsi="Times New Roman;serif"/>
                  <w:b w:val="false"/>
                  <w:color w:val="0000FF"/>
                  <w:sz w:val="20"/>
                  <w:u w:val="singl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and for performing an assessment of the effectiveness of internal control over financial reporting as of December 31, 2025. Internal control over financial reporting is a process designed to provide reasonable assurance regarding the reliability of financial reporting and the preparation of financial statements for external purposes in accordance with generally accepted accounting principles. Our system of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the authorization of our management and directors, and (iii) provide reasonable assurance regarding prevention or timely detection of unauthorized acquisition, use or disposition of our assets that could have a material effect on the financial statements. Under the supervision and with the participation of our management, including our Chief Executive Officer and Interim Chief Financial Officer, we conducted an evaluation of the effectiveness of our internal control over financial reporting as of December 31, 2025 based on the framework in the 2013 Internal Control — Integrated Framework issued by the Committee of Sponsoring Organizations of the Treadway Commission. Based on that evaluation, our management concluded that our internal control over financial reporting was effective as of December 31,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KPMG LLP, the independent registered public accounting firm that audited our financial statements, has issued an audit report on their assessment of internal control over financial reporting, which is included elsewhere in this Annual Report.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26, 2026 </w:t>
      </w:r>
    </w:p>
    <w:tbl>
      <w:tblPr>
        <w:tblW w:w="2969" w:type="dxa"/>
        <w:jc w:val="right"/>
        <w:tblInd w:w="0" w:type="dxa"/>
        <w:tblLayout w:type="fixed"/>
        <w:tblCellMar>
          <w:top w:w="28" w:type="dxa"/>
          <w:left w:w="28" w:type="dxa"/>
          <w:bottom w:w="28" w:type="dxa"/>
          <w:right w:w="28" w:type="dxa"/>
        </w:tblCellMar>
      </w:tblPr>
      <w:tblGrid>
        <w:gridCol w:w="950"/>
        <w:gridCol w:w="833"/>
        <w:gridCol w:w="1186"/>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H. GUNBY</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Steven H. Gunby</w:t>
              <w:br/>
              <w:t>Chief Executive Officer and Chairman</w:t>
              <w:br/>
              <w:t>(Principal Executive Officer)</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LINTON</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Paul Linton</w:t>
              <w:br/>
              <w:t>Interim Chief Financial Officer</w:t>
              <w:br/>
              <w:t>(Principal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FTI Consulting, Inc.:</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Opinion on the Consolidated Financial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FTI Consulting, Inc. and subsidiaries (the Company) as of December 31, 2025 and 2024, the related consolidated statements of comprehensive income, stockholders’ equity, and cash flows for each of the years in the three</w:t>
        <w:noBreakHyphen/>
        <w:t>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w:t>
        <w:noBreakHyphen/>
        <w:t>year period ended December 31, 2025, in conformity with U.S. generally accepted accounting principles.</w:t>
      </w:r>
    </w:p>
    <w:p>
      <w:pPr>
        <w:pStyle w:val="TextBody"/>
        <w:bidi w:val="0"/>
        <w:spacing w:lineRule="auto" w:line="288" w:before="0" w:after="180"/>
        <w:jc w:val="left"/>
        <w:rPr/>
      </w:pPr>
      <w:r>
        <w:rPr>
          <w:rFonts w:ascii="Times New Roman;serif" w:hAnsi="Times New Roman;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 xml:space="preserve">Internal Control </w:t>
      </w:r>
      <w:r>
        <w:rPr>
          <w:color w:val="000000"/>
        </w:rPr>
        <w:t xml:space="preserve">– </w:t>
      </w:r>
      <w:r>
        <w:rPr>
          <w:rFonts w:ascii="Times New Roman;serif" w:hAnsi="Times New Roman;serif"/>
          <w:b w:val="false"/>
          <w:i/>
          <w:color w:val="000000"/>
          <w:sz w:val="20"/>
        </w:rPr>
        <w:t>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February 26, 2026 expressed an unqualified opinion on the effectiveness of the Company’s internal control over financial reporting.</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8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Changes in estimates of potential fee reductions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discussed in Note 1 to the consolidated financial statements, for certain arrangements, the Company records revenues based on the amount it estimates it will be entitled to in exchange for its services and only to the extent that a significant reversal of revenue is not likely to occur when the uncertainty associated with the estimate is subsequently resolved. The Company records changes to revenue when there are changes in estimates of potential fee reductions imposed by bankruptcy courts or other regulatory agencies or negotiated with specific clients. Revenues for the year ended December 31, 2025 were $3,788,857 thousand, which includes the previously mentioned changes.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identified the evaluation of changes in estimates of potential fee reductions as a critical audit matter. There was a high degree of subjectivity and audit effort in evaluating the likely outcome of potential fee reductions imposed by bankruptcy courts or other regulatory agencies or negotiated by specific clients, which may vary depending on the nature of the engagement, client economics, historical experience and other appropriate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evaluated the design and tested the operating effectiveness of certain internal controls related to the Company’s revenue process, including controls related to the monthly analysis of estimated potential fee reductions by arrangement, and review of the related changes to revenue. For a sample of changes in estimates of potential fee reductions, we inspected relevant evidence, including: (1) contractual documents, (2) regulatory correspondence if applicable, and (3) historical trends and analysis performed by the Company that supported the change, and also inquired of relevant Company personnel to assess the rationale for making the change. For a sample of arrangements, we assessed the existence and accuracy of the billed receivables by confirming amounts recorded directly with the Company’s clients. We compared actual collections and write-offs to previous billed and unbilled receivables to assess the Company’s ability to accurately record changes in estimates of potential fee reductions.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McLean, Virginia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Board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FTI Consulting, Inc.:</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Opinion on Internal Control Over Financial Reporting </w:t>
      </w:r>
    </w:p>
    <w:p>
      <w:pPr>
        <w:pStyle w:val="TextBody"/>
        <w:bidi w:val="0"/>
        <w:spacing w:lineRule="auto" w:line="288" w:before="0" w:after="180"/>
        <w:jc w:val="left"/>
        <w:rPr/>
      </w:pPr>
      <w:r>
        <w:rPr>
          <w:rFonts w:ascii="Times New Roman;serif" w:hAnsi="Times New Roman;serif"/>
          <w:b w:val="false"/>
          <w:color w:val="000000"/>
          <w:sz w:val="20"/>
        </w:rPr>
        <w:t xml:space="preserve">We have audited FTI Consulting, Inc. and subsidiaries’ (the Company) internal control over financial reporting as of December 31, 2025, based on criteria established in </w:t>
      </w:r>
      <w:r>
        <w:rPr>
          <w:rFonts w:ascii="Times New Roman;serif" w:hAnsi="Times New Roman;serif"/>
          <w:b w:val="false"/>
          <w:i/>
          <w:color w:val="000000"/>
          <w:sz w:val="20"/>
        </w:rPr>
        <w:t xml:space="preserve">Internal Control </w:t>
      </w:r>
      <w:r>
        <w:rPr>
          <w:color w:val="000000"/>
        </w:rPr>
        <w:t xml:space="preserve">– </w:t>
      </w:r>
      <w:r>
        <w:rPr>
          <w:rFonts w:ascii="Times New Roman;serif" w:hAnsi="Times New Roman;serif"/>
          <w:b w:val="false"/>
          <w:i/>
          <w:color w:val="000000"/>
          <w:sz w:val="20"/>
        </w:rPr>
        <w:t>Integrated Framework (2013)</w:t>
      </w:r>
      <w:r>
        <w:rPr>
          <w:color w:val="000000"/>
        </w:rPr>
        <w:t> </w:t>
      </w:r>
      <w:r>
        <w:rPr>
          <w:rFonts w:ascii="Times New Roman;serif" w:hAnsi="Times New Roman;serif"/>
          <w:b w:val="false"/>
          <w:color w:val="000000"/>
          <w:sz w:val="20"/>
        </w:rPr>
        <w:t xml:space="preserve">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 xml:space="preserve">Internal Control </w:t>
      </w:r>
      <w:r>
        <w:rPr>
          <w:color w:val="000000"/>
        </w:rPr>
        <w:t xml:space="preserve">– </w:t>
      </w:r>
      <w:r>
        <w:rPr>
          <w:rFonts w:ascii="Times New Roman;serif" w:hAnsi="Times New Roman;serif"/>
          <w:b w:val="false"/>
          <w:i/>
          <w:color w:val="000000"/>
          <w:sz w:val="20"/>
        </w:rPr>
        <w:t>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comprehensive income, stockholders’ equity, and cash flows for each of the years in the three-year period ended December 31, 2025, and the related notes (collectively, the consolidated financial statements), and our report dated February 26, 2026 expressed an unqualified opinion on those consolidated financial statements.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Definition and Limitations of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McLean, Virginia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FTI Consulting,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9173" w:type="dxa"/>
        <w:jc w:val="left"/>
        <w:tblInd w:w="0" w:type="dxa"/>
        <w:tblLayout w:type="fixed"/>
        <w:tblCellMar>
          <w:top w:w="28" w:type="dxa"/>
          <w:left w:w="28" w:type="dxa"/>
          <w:bottom w:w="28" w:type="dxa"/>
          <w:right w:w="28" w:type="dxa"/>
        </w:tblCellMar>
      </w:tblPr>
      <w:tblGrid>
        <w:gridCol w:w="2241"/>
        <w:gridCol w:w="1972"/>
        <w:gridCol w:w="1996"/>
        <w:gridCol w:w="211"/>
        <w:gridCol w:w="976"/>
        <w:gridCol w:w="109"/>
        <w:gridCol w:w="109"/>
        <w:gridCol w:w="109"/>
        <w:gridCol w:w="109"/>
        <w:gridCol w:w="211"/>
        <w:gridCol w:w="976"/>
        <w:gridCol w:w="154"/>
      </w:tblGrid>
      <w:tr>
        <w:trPr/>
        <w:tc>
          <w:tcPr>
            <w:tcW w:w="224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notes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3,596,830 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services provided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shares authorized — 5,000; none</w:t>
            </w:r>
          </w:p>
          <w:p>
            <w:pPr>
              <w:pStyle w:val="TableContents"/>
              <w:bidi w:val="0"/>
              <w:spacing w:lineRule="auto" w:line="240" w:before="0" w:after="0"/>
              <w:ind w:left="0" w:right="0" w:firstLine="540"/>
              <w:jc w:val="left"/>
              <w:rPr>
                <w:color w:val="000000"/>
              </w:rPr>
            </w:pPr>
            <w:r>
              <w:rPr>
                <w:color w:val="000000"/>
              </w:rPr>
              <w:t>   </w:t>
            </w:r>
            <w:r>
              <w:rPr>
                <w:rFonts w:ascii="Times New Roman;serif" w:hAnsi="Times New Roman;serif"/>
                <w:b w:val="false"/>
                <w:color w:val="000000"/>
                <w:sz w:val="20"/>
              </w:rPr>
              <w:t>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shares authorized — 75,000; shares</w:t>
            </w:r>
          </w:p>
          <w:p>
            <w:pPr>
              <w:pStyle w:val="TableContents"/>
              <w:bidi w:val="0"/>
              <w:spacing w:lineRule="auto" w:line="240" w:before="0" w:after="0"/>
              <w:ind w:left="0" w:right="0" w:firstLine="540"/>
              <w:jc w:val="left"/>
              <w:rPr>
                <w:color w:val="000000"/>
              </w:rPr>
            </w:pPr>
            <w:r>
              <w:rPr>
                <w:color w:val="000000"/>
              </w:rPr>
              <w:t>    </w:t>
            </w:r>
            <w:r>
              <w:rPr>
                <w:rFonts w:ascii="Times New Roman;serif" w:hAnsi="Times New Roman;serif"/>
                <w:b w:val="false"/>
                <w:color w:val="000000"/>
                <w:sz w:val="20"/>
              </w:rPr>
              <w:t>issued and outstanding —30,864 (2025) and 35,913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3,596,830 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227455"/>
                <wp:effectExtent l="0" t="0" r="0" b="0"/>
                <wp:wrapNone/>
                <wp:docPr id="59" name="Frame59"/>
                <a:graphic xmlns:a="http://schemas.openxmlformats.org/drawingml/2006/main">
                  <a:graphicData uri="http://schemas.microsoft.com/office/word/2010/wordprocessingShape">
                    <wps:wsp>
                      <wps:cNvSpPr txBox="1"/>
                      <wps:spPr>
                        <a:xfrm>
                          <a:off x="0" y="0"/>
                          <a:ext cx="6480175" cy="12274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FTI Consulting, Inc. and Subsidiaries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8996" w:type="dxa"/>
        <w:jc w:val="left"/>
        <w:tblInd w:w="0" w:type="dxa"/>
        <w:tblLayout w:type="fixed"/>
        <w:tblCellMar>
          <w:top w:w="28" w:type="dxa"/>
          <w:left w:w="28" w:type="dxa"/>
          <w:bottom w:w="28" w:type="dxa"/>
          <w:right w:w="28" w:type="dxa"/>
        </w:tblCellMar>
      </w:tblPr>
      <w:tblGrid>
        <w:gridCol w:w="1596"/>
        <w:gridCol w:w="1399"/>
        <w:gridCol w:w="1414"/>
        <w:gridCol w:w="211"/>
        <w:gridCol w:w="976"/>
        <w:gridCol w:w="109"/>
        <w:gridCol w:w="109"/>
        <w:gridCol w:w="109"/>
        <w:gridCol w:w="109"/>
        <w:gridCol w:w="211"/>
        <w:gridCol w:w="976"/>
        <w:gridCol w:w="109"/>
        <w:gridCol w:w="109"/>
        <w:gridCol w:w="109"/>
        <w:gridCol w:w="109"/>
        <w:gridCol w:w="211"/>
        <w:gridCol w:w="976"/>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 provision</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adjustments, net of tax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expense of $—, $— and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 (loss), net of tax</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227455"/>
                <wp:effectExtent l="0" t="0" r="0" b="0"/>
                <wp:wrapNone/>
                <wp:docPr id="60" name="Frame60"/>
                <a:graphic xmlns:a="http://schemas.openxmlformats.org/drawingml/2006/main">
                  <a:graphicData uri="http://schemas.microsoft.com/office/word/2010/wordprocessingShape">
                    <wps:wsp>
                      <wps:cNvSpPr txBox="1"/>
                      <wps:spPr>
                        <a:xfrm>
                          <a:off x="0" y="0"/>
                          <a:ext cx="6480175" cy="12274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FTI Consulting,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038"/>
        <w:gridCol w:w="452"/>
        <w:gridCol w:w="453"/>
        <w:gridCol w:w="323"/>
        <w:gridCol w:w="323"/>
        <w:gridCol w:w="196"/>
        <w:gridCol w:w="109"/>
        <w:gridCol w:w="109"/>
        <w:gridCol w:w="109"/>
        <w:gridCol w:w="196"/>
        <w:gridCol w:w="421"/>
        <w:gridCol w:w="109"/>
        <w:gridCol w:w="109"/>
        <w:gridCol w:w="109"/>
        <w:gridCol w:w="109"/>
        <w:gridCol w:w="245"/>
        <w:gridCol w:w="808"/>
        <w:gridCol w:w="136"/>
        <w:gridCol w:w="109"/>
        <w:gridCol w:w="109"/>
        <w:gridCol w:w="109"/>
        <w:gridCol w:w="207"/>
        <w:gridCol w:w="921"/>
        <w:gridCol w:w="115"/>
        <w:gridCol w:w="109"/>
        <w:gridCol w:w="109"/>
        <w:gridCol w:w="109"/>
        <w:gridCol w:w="259"/>
        <w:gridCol w:w="996"/>
        <w:gridCol w:w="146"/>
        <w:gridCol w:w="109"/>
        <w:gridCol w:w="109"/>
        <w:gridCol w:w="109"/>
        <w:gridCol w:w="196"/>
        <w:gridCol w:w="871"/>
        <w:gridCol w:w="159"/>
      </w:tblGrid>
      <w:tr>
        <w:trPr/>
        <w:tc>
          <w:tcPr>
            <w:tcW w:w="103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w:t>
              <w:b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94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34,026 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1,858,103 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(176,722)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1,681,721 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274,892 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274,892 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translation adjustment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Restricted share grants, less net settled</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shares of 91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ind w:left="0" w:right="0" w:firstLine="446"/>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Settlement of conversion premium of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convertible senior notes due 2023</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and retirement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(17,798)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(17,799)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Conversion of convertible senior notes due </w:t>
              <w:br/>
              <w:t>   2023</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29,534 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Reclassification of negative additional paid-in </w:t>
              <w:br/>
              <w:t>   capital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(18,230)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16,760 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2,114,765 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(150,460)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1,981,420 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280,088 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280,088 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translation adjustment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Restricted share grants, less net settled</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shares of 93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(16,218)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(16,216)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and retirement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(10,216)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38,436 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38,436 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35,913 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39,650 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2,394,853 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(176,572)</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2,258,290 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270,871 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270,871 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translation adjustment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Restricted share grants, less net settled</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shares of 106</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(16,479)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Purchase and retirement of common stock, </w:t>
              <w:br/>
              <w:t>   including excise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(5,265)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(866,580)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(866,632)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Reclassification of negative additional paid-in </w:t>
              <w:br/>
              <w:t>   capital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803,052 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(803,052)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30,864 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1,862,672 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(129,604)</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1,733,731 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227455"/>
                <wp:effectExtent l="0" t="0" r="0" b="0"/>
                <wp:wrapNone/>
                <wp:docPr id="61" name="Frame61"/>
                <a:graphic xmlns:a="http://schemas.openxmlformats.org/drawingml/2006/main">
                  <a:graphicData uri="http://schemas.microsoft.com/office/word/2010/wordprocessingShape">
                    <wps:wsp>
                      <wps:cNvSpPr txBox="1"/>
                      <wps:spPr>
                        <a:xfrm>
                          <a:off x="0" y="0"/>
                          <a:ext cx="6480175" cy="122745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FTI Consulting,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746" w:type="dxa"/>
        <w:jc w:val="center"/>
        <w:tblInd w:w="0" w:type="dxa"/>
        <w:tblLayout w:type="fixed"/>
        <w:tblCellMar>
          <w:top w:w="28" w:type="dxa"/>
          <w:left w:w="28" w:type="dxa"/>
          <w:bottom w:w="28" w:type="dxa"/>
          <w:right w:w="28" w:type="dxa"/>
        </w:tblCellMar>
      </w:tblPr>
      <w:tblGrid>
        <w:gridCol w:w="2145"/>
        <w:gridCol w:w="1886"/>
        <w:gridCol w:w="1893"/>
        <w:gridCol w:w="196"/>
        <w:gridCol w:w="736"/>
        <w:gridCol w:w="109"/>
        <w:gridCol w:w="109"/>
        <w:gridCol w:w="109"/>
        <w:gridCol w:w="109"/>
        <w:gridCol w:w="196"/>
        <w:gridCol w:w="736"/>
        <w:gridCol w:w="109"/>
        <w:gridCol w:w="109"/>
        <w:gridCol w:w="109"/>
        <w:gridCol w:w="109"/>
        <w:gridCol w:w="196"/>
        <w:gridCol w:w="736"/>
        <w:gridCol w:w="154"/>
      </w:tblGrid>
      <w:tr>
        <w:trPr/>
        <w:tc>
          <w:tcPr>
            <w:tcW w:w="2145"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notes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expected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from acquisitions: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billed and unbilled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net of repayments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Billings in excess of services provided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and maturity of short-term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line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revolving line of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convertible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and retirement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tax withholdings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on stock option exercises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disclosures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and tax credits,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stock units under incentive compensation plans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Excise tax on purchase and retirement of common stock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additions to property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97205"/>
                <wp:effectExtent l="0" t="0" r="0" b="0"/>
                <wp:wrapNone/>
                <wp:docPr id="62" name="Frame6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FTI Consulting,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(dollar and share amounts in tables expressed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Description of Business and Summary of Significant Accounting Policies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FTI Consulting, Inc., including its consolidated subsidiaries (collectively, the “Company,” “we,” “our” or “FTI Consulting”), is a leading global expert firm for organizations facing crisis and transformation. Individually, each of our segments and practices is staffed with experts recognized for the depth of their knowledge and a track record of making an impact. We operate through five reportable segments: Corporate Finance, Forensic and Litigation Consulting (“FLC”), Economic Consulting, Technology and Strategic Communications.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renamed its Corporate Finance &amp; Restructuring segment to Corporate Finance to better align with the segment’s business activities, structure and strategy, as of December 31, 2025. The segment name change did not result in any change to the composition of the segment and has no impact on previously reported financial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Accounting Principles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have been prepared in accordance with generally accepted accounting principles in the United States (“GAAP”). The consolidated financial statements include the accounts of FTI Consulting and all of our subsidiaries. All intercompany transactions and balances have been eliminated. Reclassifications of certain prior period amounts have been made to conform to the current period presentation.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Results of operations for our non-United States subsidiaries are translated from the designated functional currency to the reporting currency of the United States dollar (“USD”). Revenues and expenses are translated at average exchange rates for each month, while assets and liabilities are translated at balance sheet date exchange rates and certain equity transactions are translated at historical exchange rates. Resulting net translation adjustments are recorded as a component of stockholders’ equity in “Accumulated other comprehensive loss.”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Transaction gains and losses arising from currency exchange rate fluctuations on transactions denominated in a currency other than the local functional currency are included in “Interest income and other” on the Consolidated Statements of Comprehensive Income. Such transaction gains and losses may be realized or unrealized depending upon whether the transaction settled during the period or remains outstanding at the balance sheet date.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in the consolidated financial statements and accompanying notes. Due to the inherent uncertainty involved in making those assumptions, actual results could differ from those estimates. Management bases its estimates on historical trends, projections, current experience and other assumptions that it believes are reasonable. Our most significant estimates relate to revenues and the assessment of the recoverability of goodwill and intangible assets. Other estimates include, but are not limited to, the realization of deferred tax assets and the fair value of acquisition-related contingent consideration. The fair values of all of our financial instruments are estimated to be equal to their carrying values as of December 31, 2025 and 2024.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Concentrations of Risk</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have a single customer that represents 10% or more of our consolidated revenues. We derive the majority of our revenues from providing professional services to clients in the United States (“U.S.”). For the year ended December 31, 2025, we derived approximately 37% of our consolidated revenues from the work of professionals who are assigned to locations outside the U.S. We believe that the geographic and industry diversity of our customer base throughout the U.S. and internationally minimizes the risk of incurring material losses due to concentrations of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are recognized when we satisfy a performance obligation by transferring services promised in a contract to a customer and in an amount that reflects the consideration that we expect to receive in exchange for those services. Performance obligations in our contracts represent distinct or separate services that we provide to our customers. If, at the outset of an arrangement, we determine that a contract with enforceable rights and obligations does not exist, revenues are deferred until all criteria for an enforceable contract are met or until consideration is received.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generate the majority of our revenues by providing consulting services to our clients. Most of our consulting service contracts are based on one of the following types of contract arrangements: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i/>
          <w:color w:val="000000"/>
          <w:sz w:val="20"/>
        </w:rPr>
        <w:t>Time and expense arrangements</w:t>
      </w:r>
      <w:r>
        <w:rPr>
          <w:color w:val="000000"/>
        </w:rPr>
        <w:t xml:space="preserve"> </w:t>
      </w:r>
      <w:r>
        <w:rPr>
          <w:rFonts w:ascii="Times New Roman;serif" w:hAnsi="Times New Roman;serif"/>
          <w:b w:val="false"/>
          <w:color w:val="000000"/>
          <w:sz w:val="20"/>
        </w:rPr>
        <w:t>require the client to pay us based on the number of hours worked at contractually agreed-upon rates. We recognize revenues for these contract arrangements based on hours incurred and contracted rates utilizing a right-to-invoice practical expedient because we have a right to consideration for services completed to date. When a time and expense arrangement has a not-to-exceed or “cap” amount and we expect to perform work in excess of the cap, we recognize revenues up to the cap amount specified by the client.</w:t>
      </w:r>
    </w:p>
    <w:p>
      <w:pPr>
        <w:pStyle w:val="TextBody"/>
        <w:bidi w:val="0"/>
        <w:spacing w:lineRule="auto" w:line="288" w:before="0" w:after="180"/>
        <w:ind w:left="0" w:right="0" w:hanging="270"/>
        <w:jc w:val="left"/>
        <w:rPr/>
      </w:pPr>
      <w:r>
        <w:rPr>
          <w:color w:val="000000"/>
        </w:rPr>
        <w:t>•</w:t>
      </w:r>
      <w:r>
        <w:rPr>
          <w:rFonts w:ascii="Times New Roman;serif" w:hAnsi="Times New Roman;serif"/>
          <w:b w:val="false"/>
          <w:i/>
          <w:color w:val="000000"/>
          <w:sz w:val="20"/>
        </w:rPr>
        <w:t>Fixed-fee arrangements</w:t>
      </w:r>
      <w:r>
        <w:rPr>
          <w:color w:val="000000"/>
        </w:rPr>
        <w:t xml:space="preserve"> </w:t>
      </w:r>
      <w:r>
        <w:rPr>
          <w:rFonts w:ascii="Times New Roman;serif" w:hAnsi="Times New Roman;serif"/>
          <w:b w:val="false"/>
          <w:color w:val="000000"/>
          <w:sz w:val="20"/>
        </w:rPr>
        <w:t>require the client to pay a fixed-fee in exchange for a predetermined set of professional services. We recognize revenues earned to date by applying the proportional performance method. Generally, these arrangements have one performance obligation because the promises to transfer goods or services within most of our agreements are not considered to be separately identifiable.</w:t>
      </w:r>
    </w:p>
    <w:p>
      <w:pPr>
        <w:pStyle w:val="TextBody"/>
        <w:bidi w:val="0"/>
        <w:spacing w:lineRule="auto" w:line="288" w:before="0" w:after="180"/>
        <w:ind w:left="0" w:right="0" w:hanging="270"/>
        <w:jc w:val="left"/>
        <w:rPr/>
      </w:pPr>
      <w:r>
        <w:rPr>
          <w:color w:val="000000"/>
        </w:rPr>
        <w:t>•</w:t>
      </w:r>
      <w:r>
        <w:rPr>
          <w:rFonts w:ascii="Times New Roman;serif" w:hAnsi="Times New Roman;serif"/>
          <w:b w:val="false"/>
          <w:i/>
          <w:color w:val="000000"/>
          <w:sz w:val="20"/>
        </w:rPr>
        <w:t>Performance-based or contingent arrangements</w:t>
      </w:r>
      <w:r>
        <w:rPr>
          <w:color w:val="000000"/>
        </w:rPr>
        <w:t xml:space="preserve"> </w:t>
      </w:r>
      <w:r>
        <w:rPr>
          <w:rFonts w:ascii="Times New Roman;serif" w:hAnsi="Times New Roman;serif"/>
          <w:b w:val="false"/>
          <w:color w:val="000000"/>
          <w:sz w:val="20"/>
        </w:rPr>
        <w:t>represent forms of variable consideration. In these arrangements, our fees are based on the attainment of contractually defined objectives with our client, such as completing a business transaction or assisting the client in achieving a specific business objective. We recognize revenues earned to date in an amount that is probable not to reverse using the expected value or most likely amount to determine the expected variable consideration and then apply the proportional performance method when the criteria for over time revenue recognition are met.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fees in our time and materials arrangements may be subject to approval by a third-party, such as a bankruptcy court and other regulatory agency. In such cases, we record revenues based on the amount we estimate we will be entitled to in exchange for our services and only to the extent a significant reversal of revenue is not likely to occur when the uncertainty associated with the estimate is subsequently resolved. Potential fee reductions imposed by bankruptcy courts and other regulatory agencies or negotiated with specific clients are estimated on a specific identification basis. Our estimates may vary depending on the nature of the engagement, client economics, historical experience and other appropriate factors. When there are changes in our estimates of potential fee reductions, we record such changes to revenues with a corresponding offset to our billed and unbilled accounts receivable.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our Technology segment, certain clients are billed based on the amount of data storage used or the volume of information processed. Unit-based revenues are defined as revenues billed on a per item, per page or another unit-based method and include revenues from data processing and hosting. Unit-based revenues include revenues associated with licensed software products made available to customers via a web browser (“on-demand”). On-demand revenues are charged on a unit or monthly basis and include, but are not limited to, processing and review related functions.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Reimbursable expenses, including those relating to travel, out-of-pocket expenses, outside consultants and other outside service costs, are generally included in revenues, and an equivalent amount of reimbursable expenses is included in costs of services in the period in which the expense is incurred.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Timing of revenue recognition often differs from the timing of billing to our customers. Generally, we transfer goods or services to a customer before the customer pays consideration or payment is due. If we have an unconditional right to invoice and receive payment for goods or services already provided, we record billed and unbilled receivables on our Consolidated Balance Sheets. Our contract terms generally include a requirement of payment within 30 days when no contingencies exist. Payment terms and conditions vary depending on the jurisdiction, market and type of service, and whether regulatory or other third-party approvals are required. At times, we may execute contracts in a form provided by customers that might include different payment terms and contracts may be negotiated at the client’s request.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Direct Cost of Revenues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Direct cost of revenues consists primarily of billable employee compensation and related payroll benefits, the cost of contractors assigned to revenue-generating activities and direct expenses billable to clients. Direct cost of revenues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4"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includes expense for cloud-based computing and depreciation expense on licensed software used to host and process client information. Direct cost of revenues does not include an allocation of corporate overhead and non-billable segment costs.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 is estimated at the grant date based on the fair value of the award and is recognized as expense over the requisite service period or performance period of the award. The amount of share-based compensation expense recognized at any date must at least equal the portion of grant date value of the award that is vested at that date.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restricted share awards and restricted stock units is measured based on the closing price of the underlying stock on the date of grant. The fair value of performance stock units that contain market-based vesting conditions is measured using a Monte Carlo pricing model. The compensation cost of performance stock units with market-based vesting conditions is based on the grant date fair value and is not subsequently reversed if it is later determined that the market condition is unlikely to be met or is expected to be lower than originally anticipated. For performance stock units that contain performance-based vesting conditions, the compensation cost is adjusted each reporting period based on the probability of the awards vesting.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all of our share-based awards, we recognize forfeitures in compensation cost when they occur.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Advertising Costs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Advertising costs consist of marketing, advertising through print and other media, professional event sponsorship and public relations. These costs are expensed as incurred. Advertising costs totaled $26.8 million, $27.0 million and $23.0 million for the years ended December 31, 2025, 2024 and 2023, respectively, and are included in selling, general and administrative (“SG&amp;A”) expenses on the Consolidated Statements of Comprehensive Income.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income tax provision consists principally of U.S. federal, state and international income taxes. We generate income in a significant number of states located throughout the U.S. and in foreign countries in which we conduct business. Our effective income tax rate may fluctuate due to a change in the mix of earnings between higher and lower state or country tax jurisdictions and the impact of non-deductible expenses.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record deferred tax assets and liabilities using the asset and liability method of accounting, which requires us to measure these assets and liabilities using the enacted tax rates and laws that will be in effect when the differences are expected to reverse. We recognize a deferred tax asset if it is more likely than not (defined as a likelihood of greater than 50%) that a tax benefit will be accepted by the relevant taxing authority. The measurement of deferred tax assets and liabilities is based upon currently enacted tax rates in the applicable jurisdictions. A valuation allowance is recognized if, based on the weight of available evidence, it is more likely than not that some portion, or all, of the deferred tax asset will not be realized. In evaluating our ability to recover our deferred tax assets, we consider all available positive and negative evidence, including scheduled reversals of temporary differences, projected future taxable income, tax planning strategies and recent results of operations. The historical profitability of each foreign entity is a factor in determining whether to establish or release a valuation allowance. Pre-tax operating losses on a three-year cumulative basis is considered objectively verifiable evidence and will generally outweigh a projection of future taxable income. Certain foreign subsidiaries have experienced operating losses on a three-year cumulative basis and, as a result, have recorded a valuation allowance against all or a portion of their deferred tax assets.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Inflation Reduction Act includes provisions that permit clean energy tax credits that are transferable to an unrelated third party in exchange for cash payment. When the control of the investment tax credits transfers, the acquired credits are recognized as deferred tax assets and are measured under Accounting Standards Codification Topic 740, Income Taxes. The difference between the purchase price and the tax basis of the purchased credits is recognized as deferred credits. The deferred credits are recognized in income tax expense in proportion to the reversal of the associated deferred tax asset. The amounts paid for the tax credits are presented in the “Cash paid for income taxes and tax credits, net of refunds” line in the supplemental cash flow disclosures.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Equivalents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equivalents consist of money market funds, commercial paper and certificates of deposit with maturities of three months or less at the time of 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5" name="Frame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Multi-Currency Notional Cash Pooling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hold a master netting arrangement with a third-party financial institution whereby certain subsidiaries participate in a notional cash pooling arrangement to manage global liquidity requirements. As part of the master netting arrangement, the participating subsidiaries may maintain either cash deposit or borrowing positions through foreign and/or local currency accounts with the bank, so long as the aggregate position of the global pool is a notionally calculated net cash deposit. Amounts in each of the accounts are unencumbered and unrestricted with respect to use. The net positive cash balance related to this pooling arrangement is included in cash and cash equivalents in the Consolidated Balance Sheets as of December 31, 2025 and 2024.</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Allowance for Expected Credit Losses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estimate the current-period provision for expected credit losses on a specific identification basis. Our judgments regarding a specific client’s credit risk considers factors such as the counterparty’s creditworthiness, knowledge of the specific client’s circumstances and historical collection experience for similar clients. Other factors include, but are not limited to, current economic conditions and forward-looking estimates. Our actual experience may vary from our estimates. If the financial condition of our clients were to deteriorate, resulting in their inability or unwillingness to pay our fees, we may need to record additional provisions for expected credit losses in future periods. The risk of credit losses may be mitigated to the extent that we received a retainer from some of our clients prior to performing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an allowance for expected credit losses, which represents the estimated aggregate amount of credit risk arising from the inability or unwillingness of specific clients to pay our fees or disputes that may affect our ability to fully collect our billed accounts receivable. We record our estimate of lifetime expected credit losses concurrently with the initial recognition of the underlying receivable. Accounts receivable, net of the allowance for expected credit losses, represents the amount we expect to collect. At each reporting date, we adjust the allowance for expected credit losses to reflect our current estimate. Adjustments to the allowance for expected credit losses are recorded to SG&amp;A expenses on the Consolidated Statements of Comprehensive Income. Our billed accounts receivables are written off when the potential for recovery is considered remote.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Property and Equipment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 property and equipment, including improvements that extend useful life, at cost, while maintenance and repairs are expensed as incurred. We calculate depreciation using the straight-line method based on an estimated useful life ranging from less than one year to 15 years for furniture, equipment and software. We amortize leasehold improvements over the shorter of the estimated useful life of the asset or the lease term. We capitalize costs incurred during the application development stage of computer software developed or obtained for internal use. Capitalized software developed for internal use is classified within computer equipment and software and is amortized over the estimated useful life of the software, which ranges from less than one year to 10 years. Purchased software licenses to be sold to customers are capitalized and amortized over the license term.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Receivable from Employees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Notes receivable from employees principally include unsecured general recourse forgivable loans which are provided to attract and retain certain of our senior employees and other professionals. Generally, all of the principal amount and accrued interest income of the forgivable loans we make to employees and other professionals will be forgiven according to the stated terms of the loan agreement, provided that the professional is providing services to the Company on the forgiveness date and upon other specified events, such as death or disability. We record accrued interest income as a reduction to operating expenses on our Consolidated Statements of Comprehensive Income.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Professionals who terminate their employment or services with us prior to the end of the forgiveness period are required to repay the outstanding, unforgiven loan balance and any accrued but unforgiven interest. The unforgiven interest is recorded to “Interest income and other” on our Consolidated Statements of Comprehensive Income at the time of termination.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termination was by the Company without “cause” or by the employee with “good reason,” or, subject to certain conditions, if the employee terminates his or her employment due to retirement or non-renewal of his or her employment agreement, the loan may be forgiven or continue to be forgivable, in whole or in part. We amortize forgivable loans straight-line over the requisite service period, which ranges from a period of one year to 10 years. The amount of expense recognized at any date must at least equal the portion of the principal forgiven on the forgiveness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6"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Goodwill and Intangible Assets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represents the purchase price of acquired businesses in excess of the fair market value of net assets acquired at the date of acquisition. Intangible assets may include customer relationships, trademarks and acquired software.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test our goodwill and indefinite-lived intangible assets for impairment annually as of the first day of the fourth quarter and whenever events or changes in circumstances indicate that the carrying value of an asset may not be recoverable. On a quarterly basis, we monitor the key drivers of fair value to detect events or other changes that would warrant an interim impairment test. Important factors we consider that could trigger an interim impairment review include, but are not limited to, the following:</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significant underperformance relative to expected historical or projected future operating results;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 significant change in the manner of our use of the acquired asset or the strategy for our overall business;</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a significant market decline related to negative industry or economic trends; and/or</w:t>
      </w:r>
    </w:p>
    <w:p>
      <w:pPr>
        <w:pStyle w:val="TextBody"/>
        <w:bidi w:val="0"/>
        <w:spacing w:lineRule="auto" w:line="288" w:before="0" w:after="180"/>
        <w:ind w:left="0" w:right="0" w:hanging="270"/>
        <w:jc w:val="left"/>
        <w:rPr/>
      </w:pPr>
      <w:r>
        <w:rPr>
          <w:color w:val="000000"/>
        </w:rPr>
        <w:t>•</w:t>
      </w:r>
      <w:r>
        <w:rPr>
          <w:rFonts w:ascii="Times New Roman;serif" w:hAnsi="Times New Roman;serif"/>
          <w:b w:val="false"/>
          <w:color w:val="000000"/>
          <w:sz w:val="20"/>
        </w:rPr>
        <w:t>our market capitalization relative to net carrying value.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assess our goodwill for impairment at the reporting unit level. A reporting unit is an operating segment or a business one level below that operating segment if discrete financial information is available and regularly reviewed by the chief operating decision maker. Our reporting units are the same as our operating segments.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annual goodwill impairment test may be conducted using a qualitative assessment or a quantitative assessment. Under GAAP, we have an option to bypass the qualitative assessment and perform a quantitative impairment test. We determine whether to perform a qualitative assessment first or to bypass the qualitative assessment and proceed with the quantitative goodwill impairment test for each of our reporting units based on the excess of fair value over carrying value from the most recent quantitative tests and other events or changes in circumstances that could impact the fair value of the reporting units.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qualitative assessment, we consider various factors, events or circumstances, including macroeconomic conditions, industry and market considerations, cost factors, overall financial performance and other relevant reporting unit specific events. If, based on the qualitative assessment, we determine that it is not “more likely than not” that the fair value of a reporting unit is less than its carrying value, we do not prepare a quantitative impairment test. If we determine otherwise, we will prepare a quantitative assessment for potential goodwill impairment.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quantitative assessment, we compare the estimated fair value of the reporting unit with the carrying amount of that reporting unit. We estimate fair value using a combination of an income approach (based on discounted cash flows) and market approaches, using appropriate weighting factors. If the fair value exceeds the carrying amount, goodwill is not impaired. However, if the carrying value exceeds the fair value of the reporting unit, an impairment loss shall be recognized in an amount equal to that excess, limited to the total amount of goodwill allocated to that reporting unit.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with finite lives are amortized over their estimated useful life and reviewed for impairment whenever events or changes in circumstances indicate that the carrying amount of an asset may not be recoverable. We amortize our acquired finite-lived intangible assets on a straight-line basis over periods ranging from two to 15 years.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Impairment of Long-Lived Assets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review long-lived assets such as property and equipment, operating lease assets and finite-lived intangible assets whenever events or changes in circumstances indicate that the carrying amount of an asset may not be recoverable. These events or changes in circumstances may include a significant deterioration of operating results, changes in business plans or changes in anticipated future cash flows. If an impairment indicator is present, we evaluate recoverability of assets to be held and used by a comparison of the carrying value of the assets with future undiscounted net cash flows expected to be generated by the assets. We group assets at the lowest level for which there are identifiable cash flows that are largely independent of the cash flows generated by other asset groups. If the total of the expected undiscounted future cash flows is less than the carrying amount of the asset group, we estimate the fair value of the asset group to determine whether an impairment loss should be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7"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determine if a contract is a leasing arrangement at inception. Operating lease assets represent our right to control the use of an identified asset for the lease term and lease liabilities represent our obligation to make lease payments arising from the lease. Operating lease assets and liabilities are recognized on the Consolidated Balance Sheets at the commencement date based on the present value of lease payments over the lease term. We use the incremental borrowing rate on the commencement date in determining the present value of our lease payments. We recognize operating lease expense for our operating leases on a straight-line basis over the lease term.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lease office space and equipment under non-cancelable operating leases, which may include renewal or termination options that are reasonably certain of exercise. Most leases include one or more options to renew, with renewal terms that can extend the lease term up to seven years. The exercise of lease renewal options is at our sole discretion. Certain of our lease agreements include rental payments that are adjusted periodically for inflation. Our lease agreements do not contain any material residual value guarantees or material restrictive covenants.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Leases with an initial term of 12 months or less are not recorded on the balance sheet and are expensed as incurred. Lease and non-lease components are accounted for together as a single lease component for operating leases associated with our office space.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Billings in Excess of Services Provided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Billings in excess of services provided represent amounts billed to clients, such as retainers, in advance of work being performed. Clients may make advance payments, which are held on deposit until completion of work or are applied at predetermined amounts or times. Excess payments are either applied to final billings or refunded to clients upon completion of work. Payments in excess of related accounts receivable and unbilled receivables are recorded as billings in excess of services provided within the liabilities section of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New Accounting Standards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In December 2023, the Financial Accounting Standards Board (“FASB”) issued Accounting Standards Update (“ASU”) 2023-09, </w:t>
      </w:r>
      <w:r>
        <w:rPr>
          <w:rFonts w:ascii="Times New Roman;serif" w:hAnsi="Times New Roman;serif"/>
          <w:b w:val="false"/>
          <w:i/>
          <w:color w:val="000000"/>
          <w:sz w:val="20"/>
        </w:rPr>
        <w:t>Income Taxes (Topic 740)</w:t>
      </w:r>
      <w:r>
        <w:rPr>
          <w:rFonts w:ascii="Times New Roman;serif" w:hAnsi="Times New Roman;serif"/>
          <w:b w:val="false"/>
          <w:color w:val="000000"/>
          <w:sz w:val="20"/>
        </w:rPr>
        <w:t xml:space="preserve">: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which expands annual disclosures in an entity’s income tax rate reconciliation table and requires annual disclosures regarding cash taxes paid both in the U.S. (federal, state and local) and foreign jurisdictions. We adopted ASU 2023-09 on a prospective basis, beginning with the year ended December 31, 2025. See Note 16, “Income Taxes” for disclosures required under ASU 2023-09.</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Accounting Standards Not Yet Adopted</w:t>
      </w:r>
    </w:p>
    <w:p>
      <w:pPr>
        <w:pStyle w:val="TextBody"/>
        <w:bidi w:val="0"/>
        <w:spacing w:lineRule="auto" w:line="288" w:before="0" w:after="180"/>
        <w:ind w:left="0" w:right="0" w:firstLine="540"/>
        <w:jc w:val="left"/>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additional, disaggregated disclosure around certain income statement expense line items. The amendments in this ASU are effective for annual periods beginning after December 15, 2026 and interim periods beginning after December 15, 2027, although early adoption is permitted. The Company is in the process of evaluating the impact of this new guidance on its consolidated financial statements.</w:t>
      </w:r>
    </w:p>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modernizes the accounting for internal-use software costs by increasing the operability of the recognition guidance to reflect neutrality toward different methods of software development. The amendments in this ASU are effective for annual and interim periods beginning after December 15, 2027 and can be applied prospectively, retrospectively, or with a modified transition approach. Early adoption is permitted. The Company is in the process of evaluating the impact of this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3. Earnings per Common Share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 is calculated by dividing net income by the weighted average number of common shares outstanding during the period. Diluted earnings per common share adjusts basic earnings per common share for the effects of potentially dilutive common shares. Potentially dilutive common shares include the dilutive effects of shares issuable upon exercise or vesting of outstanding awards under our equity compensation plans, including stock options and share-based awards (restricted share awards, restricted stock units and performance stock units), each using the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8"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777" w:type="dxa"/>
        <w:jc w:val="center"/>
        <w:tblInd w:w="0" w:type="dxa"/>
        <w:tblLayout w:type="fixed"/>
        <w:tblCellMar>
          <w:top w:w="28" w:type="dxa"/>
          <w:left w:w="28" w:type="dxa"/>
          <w:bottom w:w="28" w:type="dxa"/>
          <w:right w:w="28" w:type="dxa"/>
        </w:tblCellMar>
      </w:tblPr>
      <w:tblGrid>
        <w:gridCol w:w="2043"/>
        <w:gridCol w:w="1792"/>
        <w:gridCol w:w="1805"/>
        <w:gridCol w:w="211"/>
        <w:gridCol w:w="826"/>
        <w:gridCol w:w="109"/>
        <w:gridCol w:w="109"/>
        <w:gridCol w:w="109"/>
        <w:gridCol w:w="109"/>
        <w:gridCol w:w="211"/>
        <w:gridCol w:w="826"/>
        <w:gridCol w:w="109"/>
        <w:gridCol w:w="109"/>
        <w:gridCol w:w="109"/>
        <w:gridCol w:w="109"/>
        <w:gridCol w:w="211"/>
        <w:gridCol w:w="826"/>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 basic and diluted</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share-based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dilutive convertible notes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diluted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 basic</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Antidilutive stock options and share-based awards</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540"/>
        <w:jc w:val="left"/>
        <w:rPr/>
      </w:pPr>
      <w:r>
        <w:rPr>
          <w:rFonts w:ascii="Times New Roman;serif" w:hAnsi="Times New Roman;serif"/>
          <w:b w:val="false"/>
          <w:color w:val="000000"/>
          <w:sz w:val="13"/>
        </w:rPr>
        <w:t>(1)    </w:t>
      </w:r>
      <w:r>
        <w:rPr>
          <w:rFonts w:ascii="Times New Roman;serif" w:hAnsi="Times New Roman;serif"/>
          <w:b w:val="false"/>
          <w:color w:val="000000"/>
          <w:sz w:val="20"/>
        </w:rPr>
        <w:t>On August 17, 2023, we issued a total of 1,460,740 shares of our common stock to holders in connection with the conversion of their 2.0% convertible senior notes due 2023 at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Revenues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generate the majority of our revenues by providing consulting services to our clients. See Note 1, “Description of Business and Summary of Significant Accounting Policies” for additional information on our accounting policies for revenues.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are recognized when we satisfy a performance obligation by transferring services promised in a contract to a customer and in an amount that reflects the consideration that we expect to receive in exchange for those services. Performance obligations in our contracts represent distinct or separate services that we provide to our customers. We estimate that approximately 76% of our revenues recognized during the year ended December 31, 2025 were generated from time and expense contract arrangements. If, at the outset of an arrangement, we determine that a contract with enforceable rights and obligations does not exist, revenues are deferred until all criteria for an enforceable contract are met.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recognized during the current period may include revenues from performance obligations satisfied or partially satisfied in prior periods. This primarily occurs when the estimated transaction price has changed based on our current probability assessment over whether the agreed-upon outcome for our performance-based and contingent arrangements will be achieved. The aggregate amount of revenues recognized related to a change in the transaction price in the current period, which related to performance obligations satisfied or partially satisfied in a prior period, was $26.0 million, $20.0 million and $11.7 million for the years ended December 31, 2025, 2024 and 2023, respectively.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Unfulfilled performance obligations primarily consist of fees not yet recognized on certain fixed-fee arrangements and performance-based and contingent arrangements. As of December 31, 2025 and 2024, the aggregate amount of the remaining contract transaction price allocated to unfulfilled performance obligations was $27.3 million and $25.5 million, respectively. We expect to recognize the majority of the related revenues over the next 12 months. We elected to utilize the optional exemption to exclude from this disclosure fixed-fee and performance-based and contingent arrangements with an original expected duration of one year or less and to exclude our time and expense arrangements for which revenues are recognized using the right-to-invoice practical expedient.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Contract assets are defined as assets for which we have recorded revenues but are not yet entitled to receive our fees because certain events, such as completion of the measurement period or client approval, must occur. The contract asset balance was immaterial as of December 31, 2025 and 2024, respectively.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Contract liabilities are defined as liabilities incurred when we have received consideration but have not yet performed the agreed-upon services. This may occur when clients pay fees before work begins. The contract liability balance was immaterial as of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9"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Accounts Receivable and Allowance for Expected Credit Losses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“Accounts receivable, net” as presented on the Consolidated Balance Sheets:</w:t>
      </w:r>
    </w:p>
    <w:tbl>
      <w:tblPr>
        <w:tblW w:w="6038" w:type="dxa"/>
        <w:jc w:val="left"/>
        <w:tblInd w:w="0" w:type="dxa"/>
        <w:tblLayout w:type="fixed"/>
        <w:tblCellMar>
          <w:top w:w="28" w:type="dxa"/>
          <w:left w:w="28" w:type="dxa"/>
          <w:bottom w:w="28" w:type="dxa"/>
          <w:right w:w="28" w:type="dxa"/>
        </w:tblCellMar>
      </w:tblPr>
      <w:tblGrid>
        <w:gridCol w:w="1114"/>
        <w:gridCol w:w="979"/>
        <w:gridCol w:w="981"/>
        <w:gridCol w:w="211"/>
        <w:gridCol w:w="976"/>
        <w:gridCol w:w="109"/>
        <w:gridCol w:w="109"/>
        <w:gridCol w:w="109"/>
        <w:gridCol w:w="109"/>
        <w:gridCol w:w="211"/>
        <w:gridCol w:w="97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 receivables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provision for expected credit losses and write-offs:</w:t>
      </w:r>
    </w:p>
    <w:tbl>
      <w:tblPr>
        <w:tblW w:w="6807" w:type="dxa"/>
        <w:jc w:val="left"/>
        <w:tblInd w:w="0" w:type="dxa"/>
        <w:tblLayout w:type="fixed"/>
        <w:tblCellMar>
          <w:top w:w="28" w:type="dxa"/>
          <w:left w:w="28" w:type="dxa"/>
          <w:bottom w:w="28" w:type="dxa"/>
          <w:right w:w="28" w:type="dxa"/>
        </w:tblCellMar>
      </w:tblPr>
      <w:tblGrid>
        <w:gridCol w:w="1080"/>
        <w:gridCol w:w="951"/>
        <w:gridCol w:w="954"/>
        <w:gridCol w:w="211"/>
        <w:gridCol w:w="721"/>
        <w:gridCol w:w="109"/>
        <w:gridCol w:w="109"/>
        <w:gridCol w:w="109"/>
        <w:gridCol w:w="109"/>
        <w:gridCol w:w="211"/>
        <w:gridCol w:w="721"/>
        <w:gridCol w:w="109"/>
        <w:gridCol w:w="109"/>
        <w:gridCol w:w="109"/>
        <w:gridCol w:w="109"/>
        <w:gridCol w:w="211"/>
        <w:gridCol w:w="721"/>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provision for expected credit losses includes recoveries, direct write-offs and charges to other accounts. Billed accounts receivables are written off when the potential for recovery is considered remote. See Note 1, “Description of Business and Summary of Significant Accounting Policies” for additional information on our accounting policies for the allowance for expected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6. Special Charges</w:t>
      </w:r>
    </w:p>
    <w:p>
      <w:pPr>
        <w:pStyle w:val="TextBody"/>
        <w:bidi w:val="0"/>
        <w:spacing w:lineRule="auto" w:line="288" w:before="0" w:after="180"/>
        <w:ind w:left="0" w:right="0" w:firstLine="540"/>
        <w:jc w:val="left"/>
        <w:rPr/>
      </w:pPr>
      <w:r>
        <w:rPr>
          <w:rFonts w:ascii="Times New Roman;serif" w:hAnsi="Times New Roman;serif"/>
          <w:b w:val="false"/>
          <w:color w:val="000000"/>
          <w:sz w:val="20"/>
        </w:rPr>
        <w:t>During the year ended December 31, 2025, we recorded special charges of $25.3 million related to targeted headcount reductions in each segment and region where we realigned our workforce with current business demand for our consulting services.</w:t>
      </w:r>
      <w:r>
        <w:rPr>
          <w:color w:val="000000"/>
          <w:shd w:fill="FFFFFF" w:val="clear"/>
        </w:rPr>
        <w:t xml:space="preserve"> </w:t>
      </w:r>
      <w:r>
        <w:rPr>
          <w:rFonts w:ascii="Times New Roman;serif" w:hAnsi="Times New Roman;serif"/>
          <w:b w:val="false"/>
          <w:color w:val="000000"/>
          <w:sz w:val="20"/>
          <w:shd w:fill="FFFFFF" w:val="clear"/>
        </w:rPr>
        <w:t>The special charges concluded as of March 31, 2025.</w:t>
      </w:r>
      <w:r>
        <w:rPr>
          <w:color w:val="000000"/>
        </w:rPr>
        <w:t xml:space="preserve"> </w:t>
      </w:r>
      <w:r>
        <w:rPr>
          <w:rFonts w:ascii="Times New Roman;serif" w:hAnsi="Times New Roman;serif"/>
          <w:b w:val="false"/>
          <w:color w:val="000000"/>
          <w:sz w:val="20"/>
        </w:rPr>
        <w:t>The majority of the special charges were paid during the year ended December 31, 2025 and the remaining amounts will be paid in cash in the next three months. These amounts are included in “Accounts payable, accrued expenses and other” on our Consolidated Balance Sheets.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special charges by segment:</w:t>
      </w:r>
    </w:p>
    <w:tbl>
      <w:tblPr>
        <w:tblW w:w="4860" w:type="dxa"/>
        <w:jc w:val="left"/>
        <w:tblInd w:w="0" w:type="dxa"/>
        <w:tblLayout w:type="fixed"/>
        <w:tblCellMar>
          <w:top w:w="28" w:type="dxa"/>
          <w:left w:w="28" w:type="dxa"/>
          <w:bottom w:w="28" w:type="dxa"/>
          <w:right w:w="28" w:type="dxa"/>
        </w:tblCellMar>
      </w:tblPr>
      <w:tblGrid>
        <w:gridCol w:w="847"/>
        <w:gridCol w:w="744"/>
        <w:gridCol w:w="748"/>
        <w:gridCol w:w="412"/>
        <w:gridCol w:w="1413"/>
        <w:gridCol w:w="215"/>
        <w:gridCol w:w="109"/>
        <w:gridCol w:w="109"/>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Year Ended </w:t>
            </w:r>
          </w:p>
          <w:p>
            <w:pPr>
              <w:pStyle w:val="TableContents"/>
              <w:bidi w:val="0"/>
              <w:spacing w:lineRule="auto" w:line="240" w:before="0" w:after="180"/>
              <w:ind w:left="0" w:right="0" w:firstLine="54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Finance</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FLC</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Consulting</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Communications</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Segment special charges</w:t>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23,350 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special charges</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pPr>
      <w:r>
        <w:rPr>
          <w:rFonts w:ascii="Times New Roman;serif" w:hAnsi="Times New Roman;serif"/>
          <w:b w:val="false"/>
          <w:color w:val="000000"/>
          <w:sz w:val="20"/>
        </w:rPr>
        <w:t xml:space="preserve">During the year ended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we recorded special charges of $8.2 million. The charges related to targeted headcount reductions in areas of each segment and region where we realigned our workforce with current business demand for our consulting services. There were no special charges recorded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70"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Share-Based Compensation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Share-Based Incentive Compensation Plan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FTI Consulting, Inc. 2017 Omnibus Incentive Compensation Plan, as amended, there were 1,144,986 shares of common stock available for grant as of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reflects the total share-based compensation expense recognized in our Consolidated Statements of Comprehensive Income for the years ended December 31, 2025, 2024 and 2023:</w:t>
      </w:r>
    </w:p>
    <w:tbl>
      <w:tblPr>
        <w:tblW w:w="7884" w:type="dxa"/>
        <w:jc w:val="center"/>
        <w:tblInd w:w="0" w:type="dxa"/>
        <w:tblLayout w:type="fixed"/>
        <w:tblCellMar>
          <w:top w:w="28" w:type="dxa"/>
          <w:left w:w="28" w:type="dxa"/>
          <w:bottom w:w="28" w:type="dxa"/>
          <w:right w:w="28" w:type="dxa"/>
        </w:tblCellMar>
      </w:tblPr>
      <w:tblGrid>
        <w:gridCol w:w="1352"/>
        <w:gridCol w:w="1189"/>
        <w:gridCol w:w="1194"/>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Income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Share Awards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restricted share awards activity during the year ended December 31, 2025.</w:t>
      </w:r>
    </w:p>
    <w:tbl>
      <w:tblPr>
        <w:tblW w:w="7438" w:type="dxa"/>
        <w:jc w:val="center"/>
        <w:tblInd w:w="0" w:type="dxa"/>
        <w:tblLayout w:type="fixed"/>
        <w:tblCellMar>
          <w:top w:w="28" w:type="dxa"/>
          <w:left w:w="28" w:type="dxa"/>
          <w:bottom w:w="28" w:type="dxa"/>
          <w:right w:w="28" w:type="dxa"/>
        </w:tblCellMar>
      </w:tblPr>
      <w:tblGrid>
        <w:gridCol w:w="1829"/>
        <w:gridCol w:w="1611"/>
        <w:gridCol w:w="1615"/>
        <w:gridCol w:w="269"/>
        <w:gridCol w:w="271"/>
        <w:gridCol w:w="196"/>
        <w:gridCol w:w="109"/>
        <w:gridCol w:w="109"/>
        <w:gridCol w:w="109"/>
        <w:gridCol w:w="256"/>
        <w:gridCol w:w="877"/>
        <w:gridCol w:w="187"/>
      </w:tblGrid>
      <w:tr>
        <w:trPr/>
        <w:tc>
          <w:tcPr>
            <w:tcW w:w="18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Restricted share awards outstanding at December 31, 2024</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awards granted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awards vested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awards forfeited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Restricted share awards outstanding at December 31, 2025</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was $61.7 million of unrecognized compensation cost related to unvested restricted share awards. That cost is expected to be recognized ratably over a weighted average period of 3.8 years. The total fair value of restricted share awards that vested during the years ended December 31, 2025, 2024 and 2023 was $26.8 million, $28.1 million and $29.0 million,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restricted stock units activity during the year ended December 31, 2025.</w:t>
      </w:r>
    </w:p>
    <w:tbl>
      <w:tblPr>
        <w:tblW w:w="7415" w:type="dxa"/>
        <w:jc w:val="center"/>
        <w:tblInd w:w="0" w:type="dxa"/>
        <w:tblLayout w:type="fixed"/>
        <w:tblCellMar>
          <w:top w:w="28" w:type="dxa"/>
          <w:left w:w="28" w:type="dxa"/>
          <w:bottom w:w="28" w:type="dxa"/>
          <w:right w:w="28" w:type="dxa"/>
        </w:tblCellMar>
      </w:tblPr>
      <w:tblGrid>
        <w:gridCol w:w="1742"/>
        <w:gridCol w:w="1534"/>
        <w:gridCol w:w="1538"/>
        <w:gridCol w:w="269"/>
        <w:gridCol w:w="271"/>
        <w:gridCol w:w="196"/>
        <w:gridCol w:w="109"/>
        <w:gridCol w:w="109"/>
        <w:gridCol w:w="109"/>
        <w:gridCol w:w="258"/>
        <w:gridCol w:w="883"/>
        <w:gridCol w:w="134"/>
        <w:gridCol w:w="109"/>
        <w:gridCol w:w="154"/>
      </w:tblGrid>
      <w:tr>
        <w:trPr/>
        <w:tc>
          <w:tcPr>
            <w:tcW w:w="1742"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Restricted stock units outstanding at December 31, 2024</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granted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released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forfeited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Restricted stock units outstanding at December 31, 2025</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was $38.2 million of unrecognized compensation cost related to unvested restricted stock units. That cost is expected to be recognized ratably over a weighted average period of 3.8 years. The total fair value of restricted stock units released for the years ended December 31, 2025, 2024 and 2023 was $17.9 million, $8.7 million and $6.6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71"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Performance stock units represent common stock potentially issuable in the future, subject to achievement of either market or performance conditions. Our current outstanding performance stock units that are subject to market conditions vest based on the adjusted total shareholder return of the Company as compared to the adjusted total shareholder return of the Standard &amp; Poor’s 500 Index over the applicable performance period. Our current outstanding performance stock units that are subject to performance conditions vest based on Adjusted EBITDA metrics over the applicable performance period. The vesting and payout range for all of our performance stock units is typically between 0% and up to 150% of the target number of shares granted at the end of a two- or three-year performance period.</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performance stock units activity during the year ended December 31, 2025.</w:t>
      </w:r>
    </w:p>
    <w:tbl>
      <w:tblPr>
        <w:tblW w:w="7596" w:type="dxa"/>
        <w:jc w:val="center"/>
        <w:tblInd w:w="0" w:type="dxa"/>
        <w:tblLayout w:type="fixed"/>
        <w:tblCellMar>
          <w:top w:w="28" w:type="dxa"/>
          <w:left w:w="28" w:type="dxa"/>
          <w:bottom w:w="28" w:type="dxa"/>
          <w:right w:w="28" w:type="dxa"/>
        </w:tblCellMar>
      </w:tblPr>
      <w:tblGrid>
        <w:gridCol w:w="1837"/>
        <w:gridCol w:w="1614"/>
        <w:gridCol w:w="1618"/>
        <w:gridCol w:w="233"/>
        <w:gridCol w:w="233"/>
        <w:gridCol w:w="196"/>
        <w:gridCol w:w="109"/>
        <w:gridCol w:w="109"/>
        <w:gridCol w:w="109"/>
        <w:gridCol w:w="258"/>
        <w:gridCol w:w="883"/>
        <w:gridCol w:w="134"/>
        <w:gridCol w:w="109"/>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Performance stock units outstanding at December 31, 2024</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Performance stock units granted </w:t>
            </w:r>
            <w:r>
              <w:rPr>
                <w:rFonts w:ascii="Times New Roman;serif" w:hAnsi="Times New Roman;serif"/>
                <w:b w:val="false"/>
                <w:color w:val="000000"/>
                <w:sz w:val="12"/>
              </w:rPr>
              <w:t>(1)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 released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Performance stock units forfeited </w:t>
            </w:r>
            <w:r>
              <w:rPr>
                <w:rFonts w:ascii="Times New Roman;serif" w:hAnsi="Times New Roman;serif"/>
                <w:b w:val="false"/>
                <w:color w:val="000000"/>
                <w:sz w:val="10"/>
              </w:rPr>
              <w:t>(2)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Performance stock units outstanding at December 31, 2025</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540"/>
        <w:jc w:val="left"/>
        <w:rPr/>
      </w:pPr>
      <w:r>
        <w:rPr>
          <w:rFonts w:ascii="Times New Roman;serif" w:hAnsi="Times New Roman;serif"/>
          <w:b w:val="false"/>
          <w:color w:val="000000"/>
          <w:sz w:val="13"/>
        </w:rPr>
        <w:t>(1)    </w:t>
      </w:r>
      <w:r>
        <w:rPr>
          <w:rFonts w:ascii="Times New Roman;serif" w:hAnsi="Times New Roman;serif"/>
          <w:b w:val="false"/>
          <w:color w:val="000000"/>
          <w:sz w:val="20"/>
        </w:rPr>
        <w:t>Performance stock units granted are presented at the maximum potential payout percentage of 150% of target shares granted.</w:t>
      </w:r>
    </w:p>
    <w:p>
      <w:pPr>
        <w:pStyle w:val="TextBody"/>
        <w:bidi w:val="0"/>
        <w:spacing w:lineRule="auto" w:line="288" w:before="0" w:after="180"/>
        <w:ind w:left="0" w:right="0" w:hanging="540"/>
        <w:jc w:val="left"/>
        <w:rPr/>
      </w:pPr>
      <w:r>
        <w:rPr>
          <w:rFonts w:ascii="Times New Roman;serif" w:hAnsi="Times New Roman;serif"/>
          <w:b w:val="false"/>
          <w:color w:val="000000"/>
          <w:sz w:val="13"/>
        </w:rPr>
        <w:t>(2)    </w:t>
      </w:r>
      <w:r>
        <w:rPr>
          <w:rFonts w:ascii="Times New Roman;serif" w:hAnsi="Times New Roman;serif"/>
          <w:b w:val="false"/>
          <w:color w:val="000000"/>
          <w:sz w:val="20"/>
        </w:rPr>
        <w:t>Performance stock units are forfeited when the market or performance conditions for maximum payout are not achieved, including performance stock units that do not achieve any payout, or the employee is terminated prior to vesting.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was $6.2 million of unrecognized compensation cost related to unvested performance stock units. That cost is expected to be recognized ratably over a weighted average period of 0.8 years. The total fair value of performance stock units released during the years ended December 31, 2025, 2024 and 2023 was $11.1 million, $15.2 million and $11.7 million, respectively.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per share of restricted share awards, restricted stock units and performance stock units awarded during the years ended December 31, 2025, 2024 and 2023 was $163.83, $211.79 and $187.85, respectively. The fair value of our restricted share awards, restricted stock units and performance stock units that are subject to performance conditions is determined based on the closing market price per share of our common stock on the grant date. The fair value of our performance stock units subject to market conditions is calculated using a Monte Carlo pricing model as of the grant date.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did not grant any stock options during the years ended December 31, 2025, 2024 and 2023. Historically, we used the Black-Scholes option-pricing model to determine the fair value of our stock option grants.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stock option activity during the year ended December 31, 2025.</w:t>
      </w:r>
    </w:p>
    <w:tbl>
      <w:tblPr>
        <w:tblW w:w="10205" w:type="dxa"/>
        <w:jc w:val="center"/>
        <w:tblInd w:w="0" w:type="dxa"/>
        <w:tblLayout w:type="fixed"/>
        <w:tblCellMar>
          <w:top w:w="28" w:type="dxa"/>
          <w:left w:w="28" w:type="dxa"/>
          <w:bottom w:w="28" w:type="dxa"/>
          <w:right w:w="28" w:type="dxa"/>
        </w:tblCellMar>
      </w:tblPr>
      <w:tblGrid>
        <w:gridCol w:w="1922"/>
        <w:gridCol w:w="1693"/>
        <w:gridCol w:w="1697"/>
        <w:gridCol w:w="109"/>
        <w:gridCol w:w="109"/>
        <w:gridCol w:w="109"/>
        <w:gridCol w:w="225"/>
        <w:gridCol w:w="225"/>
        <w:gridCol w:w="226"/>
        <w:gridCol w:w="109"/>
        <w:gridCol w:w="109"/>
        <w:gridCol w:w="109"/>
        <w:gridCol w:w="211"/>
        <w:gridCol w:w="616"/>
        <w:gridCol w:w="109"/>
        <w:gridCol w:w="109"/>
        <w:gridCol w:w="109"/>
        <w:gridCol w:w="109"/>
        <w:gridCol w:w="330"/>
        <w:gridCol w:w="330"/>
        <w:gridCol w:w="331"/>
        <w:gridCol w:w="109"/>
        <w:gridCol w:w="109"/>
        <w:gridCol w:w="109"/>
        <w:gridCol w:w="211"/>
        <w:gridCol w:w="616"/>
        <w:gridCol w:w="155"/>
      </w:tblGrid>
      <w:tr>
        <w:trPr/>
        <w:tc>
          <w:tcPr>
            <w:tcW w:w="1922"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53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Stock options 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3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Stock options outstanding and exercisable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received from option exercises for the years ended December 31, 2025, 2024 and 2023 was $1.4 million, $10.9 million and $1.3 million, respectively. The tax benefit realized from stock options exercised was immaterial for each of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155"/>
                <wp:effectExtent l="0" t="0" r="0" b="0"/>
                <wp:wrapNone/>
                <wp:docPr id="72" name="Frame7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intrinsic value of stock options exercised is the amount by which the market value of our common stock on the exercise date exceeds the exercise price. The total intrinsic value of stock options exercised for the years ended December 31, 2025, 2024 and 2023 was $4.9 million, $52.0 million and $6.0 million, respectively.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was no unrecognized compensation cost related to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Interest Income and Other</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“Interest income and other” as shown on the Consolidated Statements of Comprehensive Income:</w:t>
      </w:r>
    </w:p>
    <w:tbl>
      <w:tblPr>
        <w:tblW w:w="8163" w:type="dxa"/>
        <w:jc w:val="center"/>
        <w:tblInd w:w="0" w:type="dxa"/>
        <w:tblLayout w:type="fixed"/>
        <w:tblCellMar>
          <w:top w:w="28" w:type="dxa"/>
          <w:left w:w="28" w:type="dxa"/>
          <w:bottom w:w="28" w:type="dxa"/>
          <w:right w:w="28" w:type="dxa"/>
        </w:tblCellMar>
      </w:tblPr>
      <w:tblGrid>
        <w:gridCol w:w="1529"/>
        <w:gridCol w:w="1347"/>
        <w:gridCol w:w="1353"/>
        <w:gridCol w:w="211"/>
        <w:gridCol w:w="616"/>
        <w:gridCol w:w="109"/>
        <w:gridCol w:w="109"/>
        <w:gridCol w:w="109"/>
        <w:gridCol w:w="109"/>
        <w:gridCol w:w="211"/>
        <w:gridCol w:w="721"/>
        <w:gridCol w:w="109"/>
        <w:gridCol w:w="109"/>
        <w:gridCol w:w="109"/>
        <w:gridCol w:w="109"/>
        <w:gridCol w:w="211"/>
        <w:gridCol w:w="691"/>
        <w:gridCol w:w="401"/>
      </w:tblGrid>
      <w:tr>
        <w:trPr/>
        <w:tc>
          <w:tcPr>
            <w:tcW w:w="152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 and other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exchange transaction gains (losses),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Balance Sheet Details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“Prepaid expenses and other current assets” and “Accounts payable, accrued expenses and other” as shown on the Consolidated Balance Sheets:</w:t>
      </w:r>
    </w:p>
    <w:tbl>
      <w:tblPr>
        <w:tblW w:w="6668" w:type="dxa"/>
        <w:jc w:val="center"/>
        <w:tblInd w:w="0" w:type="dxa"/>
        <w:tblLayout w:type="fixed"/>
        <w:tblCellMar>
          <w:top w:w="28" w:type="dxa"/>
          <w:left w:w="28" w:type="dxa"/>
          <w:bottom w:w="28" w:type="dxa"/>
          <w:right w:w="28" w:type="dxa"/>
        </w:tblCellMar>
      </w:tblPr>
      <w:tblGrid>
        <w:gridCol w:w="1450"/>
        <w:gridCol w:w="1272"/>
        <w:gridCol w:w="1282"/>
        <w:gridCol w:w="211"/>
        <w:gridCol w:w="826"/>
        <w:gridCol w:w="109"/>
        <w:gridCol w:w="109"/>
        <w:gridCol w:w="109"/>
        <w:gridCol w:w="109"/>
        <w:gridCol w:w="211"/>
        <w:gridCol w:w="826"/>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payable, accrued expenses and other</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Property and Equipment</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 of the following:</w:t>
      </w:r>
    </w:p>
    <w:tbl>
      <w:tblPr>
        <w:tblW w:w="5574" w:type="dxa"/>
        <w:jc w:val="center"/>
        <w:tblInd w:w="0" w:type="dxa"/>
        <w:tblLayout w:type="fixed"/>
        <w:tblCellMar>
          <w:top w:w="28" w:type="dxa"/>
          <w:left w:w="28" w:type="dxa"/>
          <w:bottom w:w="28" w:type="dxa"/>
          <w:right w:w="28" w:type="dxa"/>
        </w:tblCellMar>
      </w:tblPr>
      <w:tblGrid>
        <w:gridCol w:w="1054"/>
        <w:gridCol w:w="926"/>
        <w:gridCol w:w="930"/>
        <w:gridCol w:w="211"/>
        <w:gridCol w:w="826"/>
        <w:gridCol w:w="109"/>
        <w:gridCol w:w="109"/>
        <w:gridCol w:w="109"/>
        <w:gridCol w:w="109"/>
        <w:gridCol w:w="211"/>
        <w:gridCol w:w="82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Depreciation expense for property and equipment totaled $45.8 million, $43.9 million and $41.1 million during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1155"/>
                <wp:effectExtent l="0" t="0" r="0" b="0"/>
                <wp:wrapNone/>
                <wp:docPr id="73" name="Frame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Goodwill and Intangible Assets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changes in the carrying amount of goodwill by reportable segment:</w:t>
      </w:r>
    </w:p>
    <w:tbl>
      <w:tblPr>
        <w:tblW w:w="10205" w:type="dxa"/>
        <w:jc w:val="left"/>
        <w:tblInd w:w="0" w:type="dxa"/>
        <w:tblLayout w:type="fixed"/>
        <w:tblCellMar>
          <w:top w:w="28" w:type="dxa"/>
          <w:left w:w="28" w:type="dxa"/>
          <w:bottom w:w="28" w:type="dxa"/>
          <w:right w:w="28" w:type="dxa"/>
        </w:tblCellMar>
      </w:tblPr>
      <w:tblGrid>
        <w:gridCol w:w="526"/>
        <w:gridCol w:w="430"/>
        <w:gridCol w:w="4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3"/>
        <w:gridCol w:w="728"/>
        <w:gridCol w:w="110"/>
        <w:gridCol w:w="109"/>
        <w:gridCol w:w="109"/>
        <w:gridCol w:w="109"/>
        <w:gridCol w:w="248"/>
        <w:gridCol w:w="972"/>
        <w:gridCol w:w="128"/>
        <w:gridCol w:w="109"/>
        <w:gridCol w:w="109"/>
        <w:gridCol w:w="109"/>
        <w:gridCol w:w="211"/>
        <w:gridCol w:w="976"/>
        <w:gridCol w:w="158"/>
      </w:tblGrid>
      <w:tr>
        <w:trPr/>
        <w:tc>
          <w:tcPr>
            <w:tcW w:w="5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Corporate</w:t>
            </w:r>
          </w:p>
          <w:p>
            <w:pPr>
              <w:pStyle w:val="TableContents"/>
              <w:bidi w:val="0"/>
              <w:spacing w:lineRule="auto" w:line="240" w:before="0" w:after="0"/>
              <w:jc w:val="center"/>
              <w:rPr/>
            </w:pPr>
            <w:r>
              <w:rPr>
                <w:rFonts w:ascii="Times New Roman;serif" w:hAnsi="Times New Roman;serif"/>
                <w:b/>
                <w:color w:val="000000"/>
                <w:sz w:val="16"/>
              </w:rPr>
              <w:t xml:space="preserve">Finance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FLC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Economic</w:t>
            </w:r>
          </w:p>
          <w:p>
            <w:pPr>
              <w:pStyle w:val="TableContents"/>
              <w:bidi w:val="0"/>
              <w:spacing w:lineRule="auto" w:line="240" w:before="0" w:after="0"/>
              <w:jc w:val="center"/>
              <w:rPr/>
            </w:pPr>
            <w:r>
              <w:rPr>
                <w:rFonts w:ascii="Times New Roman;serif" w:hAnsi="Times New Roman;serif"/>
                <w:b/>
                <w:color w:val="000000"/>
                <w:sz w:val="16"/>
              </w:rPr>
              <w:t xml:space="preserve">Consulting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Technology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Strategic</w:t>
            </w:r>
          </w:p>
          <w:p>
            <w:pPr>
              <w:pStyle w:val="TableContents"/>
              <w:bidi w:val="0"/>
              <w:spacing w:lineRule="auto" w:line="240" w:before="0" w:after="0"/>
              <w:jc w:val="center"/>
              <w:rPr/>
            </w:pPr>
            <w:r>
              <w:rPr>
                <w:rFonts w:ascii="Times New Roman;serif" w:hAnsi="Times New Roman;serif"/>
                <w:b/>
                <w:color w:val="000000"/>
                <w:sz w:val="16"/>
              </w:rPr>
              <w:t>Communications</w:t>
            </w:r>
            <w:r>
              <w:rPr>
                <w:color w:val="000000"/>
              </w:rPr>
              <w:t xml:space="preserv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114,879 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1,234,569 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1,226,556 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16,221 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96,887 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1,242,777 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There were no accumulated impairment losses for the Corporate Finance, FLC, Economic Consulting or Technology segments as of December 31, 2025, 2024 and 2023.</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Amounts for our Strategic Communications segment include gross carrying values of $312.7 million, $307.9 million and $309.0 million as of December 31, 2025, 2024 and 2023, respectively, and accumulated impairment losses of $194.1 million as of December 31, 2025, 2024 and 2023.</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were as follows:</w:t>
      </w:r>
    </w:p>
    <w:tbl>
      <w:tblPr>
        <w:tblW w:w="10645" w:type="dxa"/>
        <w:jc w:val="left"/>
        <w:tblInd w:w="0" w:type="dxa"/>
        <w:tblLayout w:type="fixed"/>
        <w:tblCellMar>
          <w:top w:w="28" w:type="dxa"/>
          <w:left w:w="28" w:type="dxa"/>
          <w:bottom w:w="28" w:type="dxa"/>
          <w:right w:w="28" w:type="dxa"/>
        </w:tblCellMar>
      </w:tblPr>
      <w:tblGrid>
        <w:gridCol w:w="741"/>
        <w:gridCol w:w="334"/>
        <w:gridCol w:w="336"/>
        <w:gridCol w:w="370"/>
        <w:gridCol w:w="265"/>
        <w:gridCol w:w="266"/>
        <w:gridCol w:w="109"/>
        <w:gridCol w:w="109"/>
        <w:gridCol w:w="109"/>
        <w:gridCol w:w="211"/>
        <w:gridCol w:w="721"/>
        <w:gridCol w:w="109"/>
        <w:gridCol w:w="109"/>
        <w:gridCol w:w="109"/>
        <w:gridCol w:w="109"/>
        <w:gridCol w:w="219"/>
        <w:gridCol w:w="748"/>
        <w:gridCol w:w="114"/>
        <w:gridCol w:w="109"/>
        <w:gridCol w:w="109"/>
        <w:gridCol w:w="109"/>
        <w:gridCol w:w="211"/>
        <w:gridCol w:w="721"/>
        <w:gridCol w:w="109"/>
        <w:gridCol w:w="109"/>
        <w:gridCol w:w="109"/>
        <w:gridCol w:w="109"/>
        <w:gridCol w:w="211"/>
        <w:gridCol w:w="721"/>
        <w:gridCol w:w="109"/>
        <w:gridCol w:w="109"/>
        <w:gridCol w:w="109"/>
        <w:gridCol w:w="109"/>
        <w:gridCol w:w="219"/>
        <w:gridCol w:w="748"/>
        <w:gridCol w:w="114"/>
        <w:gridCol w:w="109"/>
        <w:gridCol w:w="109"/>
        <w:gridCol w:w="109"/>
        <w:gridCol w:w="211"/>
        <w:gridCol w:w="721"/>
        <w:gridCol w:w="154"/>
      </w:tblGrid>
      <w:tr>
        <w:trPr/>
        <w:tc>
          <w:tcPr>
            <w:tcW w:w="74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Amortizing intangible assets </w:t>
            </w:r>
            <w:r>
              <w:rPr>
                <w:rFonts w:ascii="Times New Roman;serif" w:hAnsi="Times New Roman;serif"/>
                <w:b w:val="false"/>
                <w:color w:val="000000"/>
                <w:sz w:val="12"/>
              </w:rPr>
              <w:t>(1)</w:t>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Non-amortizing intangible assets </w:t>
            </w:r>
            <w:r>
              <w:rPr>
                <w:rFonts w:ascii="Times New Roman;serif" w:hAnsi="Times New Roman;serif"/>
                <w:b w:val="false"/>
                <w:color w:val="000000"/>
                <w:sz w:val="12"/>
              </w:rPr>
              <w:t>(2)</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    </w:t>
      </w:r>
      <w:r>
        <w:rPr>
          <w:rFonts w:ascii="Times New Roman;serif" w:hAnsi="Times New Roman;serif"/>
          <w:b w:val="false"/>
          <w:color w:val="000000"/>
          <w:sz w:val="20"/>
        </w:rPr>
        <w:t>Amortizing intangible assets primarily include customer relationships as of December 31, 2025 and 2024</w:t>
      </w:r>
      <w:r>
        <w:rPr>
          <w:rFonts w:ascii="Times New Roman;serif" w:hAnsi="Times New Roman;serif"/>
          <w:b w:val="false"/>
          <w:color w:val="000000"/>
          <w:sz w:val="20"/>
          <w:shd w:fill="FFFFFF" w:val="clear"/>
        </w:rPr>
        <w:t xml:space="preserve">. </w:t>
      </w:r>
    </w:p>
    <w:p>
      <w:pPr>
        <w:pStyle w:val="TextBody"/>
        <w:bidi w:val="0"/>
        <w:spacing w:lineRule="auto" w:line="288" w:before="0" w:after="180"/>
        <w:ind w:left="0" w:right="0" w:hanging="720"/>
        <w:jc w:val="left"/>
        <w:rPr/>
      </w:pPr>
      <w:r>
        <w:rPr>
          <w:rFonts w:ascii="Times New Roman;serif" w:hAnsi="Times New Roman;serif"/>
          <w:b w:val="false"/>
          <w:color w:val="000000"/>
          <w:sz w:val="13"/>
        </w:rPr>
        <w:t>(2)    </w:t>
      </w:r>
      <w:r>
        <w:rPr>
          <w:rFonts w:ascii="Times New Roman;serif" w:hAnsi="Times New Roman;serif"/>
          <w:b w:val="false"/>
          <w:color w:val="000000"/>
          <w:sz w:val="20"/>
        </w:rPr>
        <w:t>Non-amortizing intangible assets include trademarks as of December 31, 2025 and 2024.</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with finite lives are amortized over their estimated useful lives. We recorded amortization expense of $3.5 million, $4.2 million and $6.2 million during the years ended December 31, 2025, 2024 and 2023, respectively. No impairment charges for intangible assets were recorded during the years ended December 31, 2025, 2024 and 2023.</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estimate our future amortization expense for our intangible assets with finite lives to be as follows:</w:t>
      </w:r>
    </w:p>
    <w:tbl>
      <w:tblPr>
        <w:tblW w:w="2983" w:type="dxa"/>
        <w:jc w:val="left"/>
        <w:tblInd w:w="0" w:type="dxa"/>
        <w:tblLayout w:type="fixed"/>
        <w:tblCellMar>
          <w:top w:w="28" w:type="dxa"/>
          <w:left w:w="28" w:type="dxa"/>
          <w:bottom w:w="28" w:type="dxa"/>
          <w:right w:w="28" w:type="dxa"/>
        </w:tblCellMar>
      </w:tblPr>
      <w:tblGrid>
        <w:gridCol w:w="340"/>
        <w:gridCol w:w="300"/>
        <w:gridCol w:w="306"/>
        <w:gridCol w:w="109"/>
        <w:gridCol w:w="109"/>
        <w:gridCol w:w="109"/>
        <w:gridCol w:w="368"/>
        <w:gridCol w:w="1074"/>
        <w:gridCol w:w="268"/>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pPr>
            <w:r>
              <w:rPr>
                <w:rFonts w:ascii="Times New Roman;serif" w:hAnsi="Times New Roman;serif"/>
                <w:b/>
                <w:color w:val="000000"/>
                <w:sz w:val="16"/>
              </w:rPr>
              <w:t xml:space="preserve">December 31, 2025 </w:t>
            </w:r>
            <w:r>
              <w:rPr>
                <w:rFonts w:ascii="Times New Roman;serif" w:hAnsi="Times New Roman;serif"/>
                <w:b/>
                <w:color w:val="000000"/>
                <w:sz w:val="10"/>
              </w:rPr>
              <w:t>(1)</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Actual amortization expense to be reported in future periods could differ from these estimates as a result of new intangible asset acquisitions, impairments, changes in useful lives, or other relevant factors or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155"/>
                <wp:effectExtent l="0" t="0" r="0" b="0"/>
                <wp:wrapNone/>
                <wp:docPr id="74"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Notes Receivable from Employees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changes in the carrying amount of our notes receivable from employees:</w:t>
      </w:r>
    </w:p>
    <w:tbl>
      <w:tblPr>
        <w:tblW w:w="7479" w:type="dxa"/>
        <w:jc w:val="center"/>
        <w:tblInd w:w="0" w:type="dxa"/>
        <w:tblLayout w:type="fixed"/>
        <w:tblCellMar>
          <w:top w:w="28" w:type="dxa"/>
          <w:left w:w="28" w:type="dxa"/>
          <w:bottom w:w="28" w:type="dxa"/>
          <w:right w:w="28" w:type="dxa"/>
        </w:tblCellMar>
      </w:tblPr>
      <w:tblGrid>
        <w:gridCol w:w="1744"/>
        <w:gridCol w:w="1531"/>
        <w:gridCol w:w="1540"/>
        <w:gridCol w:w="211"/>
        <w:gridCol w:w="826"/>
        <w:gridCol w:w="109"/>
        <w:gridCol w:w="109"/>
        <w:gridCol w:w="109"/>
        <w:gridCol w:w="109"/>
        <w:gridCol w:w="211"/>
        <w:gridCol w:w="826"/>
        <w:gridCol w:w="154"/>
      </w:tblGrid>
      <w:tr>
        <w:trPr/>
        <w:tc>
          <w:tcPr>
            <w:tcW w:w="174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receivable from employees — beginning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granted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receivable from employees — ending</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receivable from employees,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there were 588 and 499 notes outstanding, respectively. Total amortization expense for the years ended December 31, 2025, 2024 and 2023 was $73.6 million, $51.6 million and $27.8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13. Debt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Long-term debt outstanding under our senior unsecured bank revolving credit facility (“Credit Facility”) was $365.0 million and there was no current portion as of December 31, 2025. The Company classified the borrowings under the Credit Facility as long-term debt in the accompanying Consolidated Balance Sheets, as we have the intent and unilateral ability to refinance any borrowings on a continuous basis through the maturity of the Credit Facility on November 21, 2027. There was no debt outstanding as of December 31, 2024.</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second amended and restated credit agreement governing our Credit Facility has a revolving line of credit limit of $900.0 million and a maximum incremental facility of $300.0 million, subject to certain conditions. The Credit Facility was originally guaranteed by substantially all of our wholly owned domestic subsidiaries and was originally secured by a first priority security interest in substantially all of the assets of FTI Consulting and such domestic subsidiaries. In October 2024, the Company’s credit rating was upgraded to investment grade by S&amp;P Global. The upgraded rating triggered a Ratings Collateral Release Date under, and as defined in, the Credit Facility. Upon the occurrence of the Ratings Collateral Release Date, the security interests and liens previously granted to the lenders were automatically terminated and released, and the Credit Facility is now unsecured, with only unsecured guarantees being provided by substantially all of our wholly owned domestic subsidiaries.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Borrowings under the Credit Facility bear interest at a rate equal to, in the case of: (i) USD, at our option, Adjusted Term Secured Overnight Financing Rate (“SOFR”) or Adjusted Daily Simple SOFR, (ii) euros, Euro Interbank Offered Rate, (iii) British pounds, Sterling Overnight Index Average Reference Rate, (iv) Australian dollars, Bank Bill Swap Reference Bid Rate, (v) Canadian dollars, Canadian Dollar Offered Rate, (vi) Swiss francs, Swiss Average Rate Overnight, and (vii) Japanese yen, Tokyo Interbank Offered Rate, in each case, plus an applicable margin that will fluctuate between 1.25% per annum and 2.00% per annum based upon the Company’s Consolidated Total Net Leverage Ratio (as defined in the Credit Facility) at such time or, in the case of USD borrowings, an alternative base rate plus an applicable margin that will fluctuate between 0.25% per annum and 1.00% per annum based upon the Company’s Consolidated Total Net Leverage Ratio at such time. The alternative base rate is a fluctuating rate per annum equal to the highest of (1) the Federal Funds rate plus the sum of 50 basis points, (2) the rate of interest in effect for such day as the prime rate announced by Bank of America, and (3) the one-month Term SOFR plus the Term SOFR Adjustment plus 100 basis points.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Credit Facility, we are required to pay a commitment fee rate that fluctuates between 0.20% and 0.35% per annum and a letter of credit fee rate that fluctuates between 1.25% and 2.00% per annum, in each case, based upon the Company’s Consolidated Total Net Leverage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75"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14. Leases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lease office space and equipment under non-cancelable operating leases. See Note 1, “Description of Business and Summary of Significant Accounting Policies” for additional information on our accounting policies for leases. The table below summarizes the carrying amount of our operating lease assets and liabilities:</w:t>
      </w:r>
    </w:p>
    <w:tbl>
      <w:tblPr>
        <w:tblW w:w="9511" w:type="dxa"/>
        <w:jc w:val="left"/>
        <w:tblInd w:w="0" w:type="dxa"/>
        <w:tblLayout w:type="fixed"/>
        <w:tblCellMar>
          <w:top w:w="28" w:type="dxa"/>
          <w:left w:w="28" w:type="dxa"/>
          <w:bottom w:w="28" w:type="dxa"/>
          <w:right w:w="28" w:type="dxa"/>
        </w:tblCellMar>
      </w:tblPr>
      <w:tblGrid>
        <w:gridCol w:w="838"/>
        <w:gridCol w:w="737"/>
        <w:gridCol w:w="749"/>
        <w:gridCol w:w="109"/>
        <w:gridCol w:w="109"/>
        <w:gridCol w:w="109"/>
        <w:gridCol w:w="1288"/>
        <w:gridCol w:w="1288"/>
        <w:gridCol w:w="1293"/>
        <w:gridCol w:w="109"/>
        <w:gridCol w:w="109"/>
        <w:gridCol w:w="109"/>
        <w:gridCol w:w="211"/>
        <w:gridCol w:w="826"/>
        <w:gridCol w:w="109"/>
        <w:gridCol w:w="109"/>
        <w:gridCol w:w="109"/>
        <w:gridCol w:w="109"/>
        <w:gridCol w:w="211"/>
        <w:gridCol w:w="826"/>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total lease costs:</w:t>
      </w:r>
    </w:p>
    <w:tbl>
      <w:tblPr>
        <w:tblW w:w="5301" w:type="dxa"/>
        <w:jc w:val="left"/>
        <w:tblInd w:w="0" w:type="dxa"/>
        <w:tblLayout w:type="fixed"/>
        <w:tblCellMar>
          <w:top w:w="28" w:type="dxa"/>
          <w:left w:w="28" w:type="dxa"/>
          <w:bottom w:w="28" w:type="dxa"/>
          <w:right w:w="28" w:type="dxa"/>
        </w:tblCellMar>
      </w:tblPr>
      <w:tblGrid>
        <w:gridCol w:w="909"/>
        <w:gridCol w:w="799"/>
        <w:gridCol w:w="812"/>
        <w:gridCol w:w="109"/>
        <w:gridCol w:w="109"/>
        <w:gridCol w:w="109"/>
        <w:gridCol w:w="211"/>
        <w:gridCol w:w="721"/>
        <w:gridCol w:w="109"/>
        <w:gridCol w:w="109"/>
        <w:gridCol w:w="109"/>
        <w:gridCol w:w="109"/>
        <w:gridCol w:w="211"/>
        <w:gridCol w:w="721"/>
        <w:gridCol w:w="154"/>
      </w:tblGrid>
      <w:tr>
        <w:trPr/>
        <w:tc>
          <w:tcPr>
            <w:tcW w:w="9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cost,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maturity analysis below summarizes the remaining future undiscounted cash flows for our operating leases and includes a reconciliation to operating lease liabilities reported on the Consolidated Balance Sheets:</w:t>
      </w:r>
    </w:p>
    <w:tbl>
      <w:tblPr>
        <w:tblW w:w="4078" w:type="dxa"/>
        <w:jc w:val="left"/>
        <w:tblInd w:w="0" w:type="dxa"/>
        <w:tblLayout w:type="fixed"/>
        <w:tblCellMar>
          <w:top w:w="28" w:type="dxa"/>
          <w:left w:w="28" w:type="dxa"/>
          <w:bottom w:w="28" w:type="dxa"/>
          <w:right w:w="28" w:type="dxa"/>
        </w:tblCellMar>
      </w:tblPr>
      <w:tblGrid>
        <w:gridCol w:w="916"/>
        <w:gridCol w:w="804"/>
        <w:gridCol w:w="814"/>
        <w:gridCol w:w="273"/>
        <w:gridCol w:w="1072"/>
        <w:gridCol w:w="199"/>
      </w:tblGrid>
      <w:tr>
        <w:trPr/>
        <w:tc>
          <w:tcPr>
            <w:tcW w:w="91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future lease payments</w:t>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326,594 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imputed interest</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261,721 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155"/>
                <wp:effectExtent l="0" t="0" r="0" b="0"/>
                <wp:wrapNone/>
                <wp:docPr id="76"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includes cash paid for our operating lease liabilities, other non-cash information, our weighted average remaining lease term and weighted average discount rate:</w:t>
      </w:r>
    </w:p>
    <w:tbl>
      <w:tblPr>
        <w:tblW w:w="9010" w:type="dxa"/>
        <w:jc w:val="left"/>
        <w:tblInd w:w="0" w:type="dxa"/>
        <w:tblLayout w:type="fixed"/>
        <w:tblCellMar>
          <w:top w:w="28" w:type="dxa"/>
          <w:left w:w="28" w:type="dxa"/>
          <w:bottom w:w="28" w:type="dxa"/>
          <w:right w:w="28" w:type="dxa"/>
        </w:tblCellMar>
      </w:tblPr>
      <w:tblGrid>
        <w:gridCol w:w="2404"/>
        <w:gridCol w:w="2107"/>
        <w:gridCol w:w="2119"/>
        <w:gridCol w:w="277"/>
        <w:gridCol w:w="193"/>
        <w:gridCol w:w="483"/>
        <w:gridCol w:w="143"/>
        <w:gridCol w:w="143"/>
        <w:gridCol w:w="143"/>
        <w:gridCol w:w="277"/>
        <w:gridCol w:w="184"/>
        <w:gridCol w:w="537"/>
      </w:tblGrid>
      <w:tr>
        <w:trPr/>
        <w:tc>
          <w:tcPr>
            <w:tcW w:w="240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58,076</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56,495</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lease liabilities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31,660</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28,693</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 (years)</w:t>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leases</w:t>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Operating leases</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21, 2025, we entered into a material lease agreement to accept possession of three leases (the “Leases”) for our new office space in London, England. We expect to accept possession of the premises on or about September 25, 2027, subject to the satisfaction of certain conditions. The Leases will have a fixed term of 15 years, subject to a break option allowing the tenant, which is a wholly-owned subsidiary of the Company, to terminate the Leases at the end of the 10th year. At the end of the initial 15-year term, the tenant has a one-time contractual right to renew each of the Leases for a term of either five years or ten years. Fixed rental payments under the Leases are scheduled to commence in February 2028, payable in quarterly installments, and will aggregate to approximately $115.0 million. The Leases are not included within “Operating lease assets” and “Operating lease liabilities” on the Consolidated Balance Sheets as of December 31, 2025, as the Company does not yet have the right to use the premises.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legal actions arising in the ordinary course of business. In management’s opinion, we believe we have adequate legal defenses and/or insurance coverage with respect to the eventuality of such actions. We are not aware of any asserted or unasserted legal proceedings or claims that we believe would have a material adverse effect on our financial condition or our results of operations. During the year ended December 31, 2025, the Company recognized gain contingencies at the conclusion of certain legal actions. These amounts are included as a gain in SG&amp;A expenses on our Consolidated Statements of Comprehensive Income.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we were contingently liable under bank guarantees issued in favor of third parties that totaled $17.5 million and $10.9 million, respectively. These bank guarantees primarily support bid and performance obligations and operating leases for office space. The amounts are guaranteed under guarantee facilities totaling $32.5 million and $42.7 million as of December 31, 2025 and 2024, respectively. We had $15.0 million and $31.8 million available under the guarantee facilities as of December 31, 2025 and 2024, respectively. These bank guarantees are issued separately from our Credit Facility and, as a result, do not affect available borrowing capacity under our Credit Facility.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entered into a material lease agreement for our new office space in London, England during the year ended December 31, 2025. See Note 14, “Leases” for additional information about the terms of the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1155"/>
                <wp:effectExtent l="0" t="0" r="0" b="0"/>
                <wp:wrapNone/>
                <wp:docPr id="77" name="Frame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16. Income Taxes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significant components of deferred tax assets and liabilities:</w:t>
      </w:r>
    </w:p>
    <w:tbl>
      <w:tblPr>
        <w:tblW w:w="6848" w:type="dxa"/>
        <w:jc w:val="left"/>
        <w:tblInd w:w="0" w:type="dxa"/>
        <w:tblLayout w:type="fixed"/>
        <w:tblCellMar>
          <w:top w:w="28" w:type="dxa"/>
          <w:left w:w="28" w:type="dxa"/>
          <w:bottom w:w="28" w:type="dxa"/>
          <w:right w:w="28" w:type="dxa"/>
        </w:tblCellMar>
      </w:tblPr>
      <w:tblGrid>
        <w:gridCol w:w="1534"/>
        <w:gridCol w:w="1350"/>
        <w:gridCol w:w="1360"/>
        <w:gridCol w:w="211"/>
        <w:gridCol w:w="796"/>
        <w:gridCol w:w="109"/>
        <w:gridCol w:w="109"/>
        <w:gridCol w:w="109"/>
        <w:gridCol w:w="109"/>
        <w:gridCol w:w="211"/>
        <w:gridCol w:w="796"/>
        <w:gridCol w:w="154"/>
      </w:tblGrid>
      <w:tr>
        <w:trPr/>
        <w:tc>
          <w:tcPr>
            <w:tcW w:w="153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 and bonus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from employees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net operating and capital loss carryforward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 carryforward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deferred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deferred tax liabilities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withholding tax</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foreign tax credit carryforwards of $33.9 million, all of which will expire between 2031 and 2035. As of December 31, 2025, the Company had foreign net operating loss and capital loss carryforwards of $154.2 million, of which $22.9 million expires over the next 15 years and $131.3 million can be carried forward indefinitely.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valuation allowance for foreign deferred tax assets was $24.5 million and $9.6 million as of December 31, 2025 and 2024, respectively. The historical profitability of each foreign entity is a factor in determining whether to establish or release a valuation allowance. Pre-tax operating losses on a three-year cumulative basis or lack of sustainable profitability are considered objectively verifiable evidence and will generally outweigh a projection of future taxable income. Certain foreign subsidiaries have experienced cumulative operating losses over a three-year period and, as a result, have recorded a valuation allowance against all or a portion of their deferred tax assets. Based on all available evidence, we have determined that it is more likely than not (defined as a likelihood of greater than 50%) that the deferred tax assets held by these entities will not be realized and, consequently, have recorded valuation allowances on these deferred tax assets.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the valuation allowance for deferred tax assets for the years ended December 31, 2025, 2024 and 2023 was as follows:</w:t>
      </w:r>
    </w:p>
    <w:tbl>
      <w:tblPr>
        <w:tblW w:w="8876" w:type="dxa"/>
        <w:jc w:val="left"/>
        <w:tblInd w:w="0" w:type="dxa"/>
        <w:tblLayout w:type="fixed"/>
        <w:tblCellMar>
          <w:top w:w="28" w:type="dxa"/>
          <w:left w:w="28" w:type="dxa"/>
          <w:bottom w:w="28" w:type="dxa"/>
          <w:right w:w="28" w:type="dxa"/>
        </w:tblCellMar>
      </w:tblPr>
      <w:tblGrid>
        <w:gridCol w:w="1825"/>
        <w:gridCol w:w="1603"/>
        <w:gridCol w:w="1611"/>
        <w:gridCol w:w="211"/>
        <w:gridCol w:w="796"/>
        <w:gridCol w:w="109"/>
        <w:gridCol w:w="109"/>
        <w:gridCol w:w="109"/>
        <w:gridCol w:w="109"/>
        <w:gridCol w:w="211"/>
        <w:gridCol w:w="691"/>
        <w:gridCol w:w="109"/>
        <w:gridCol w:w="109"/>
        <w:gridCol w:w="109"/>
        <w:gridCol w:w="109"/>
        <w:gridCol w:w="211"/>
        <w:gridCol w:w="691"/>
        <w:gridCol w:w="154"/>
      </w:tblGrid>
      <w:tr>
        <w:trPr/>
        <w:tc>
          <w:tcPr>
            <w:tcW w:w="182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(Charged) credited to 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(Charged) credited to other comprehensive income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1155"/>
                <wp:effectExtent l="0" t="0" r="0" b="0"/>
                <wp:wrapNone/>
                <wp:docPr id="78"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components of income before income tax provision from continuing operations:</w:t>
      </w:r>
    </w:p>
    <w:tbl>
      <w:tblPr>
        <w:tblW w:w="5023" w:type="dxa"/>
        <w:jc w:val="center"/>
        <w:tblInd w:w="0" w:type="dxa"/>
        <w:tblLayout w:type="fixed"/>
        <w:tblCellMar>
          <w:top w:w="28" w:type="dxa"/>
          <w:left w:w="28" w:type="dxa"/>
          <w:bottom w:w="28" w:type="dxa"/>
          <w:right w:w="28" w:type="dxa"/>
        </w:tblCellMar>
      </w:tblPr>
      <w:tblGrid>
        <w:gridCol w:w="321"/>
        <w:gridCol w:w="282"/>
        <w:gridCol w:w="283"/>
        <w:gridCol w:w="211"/>
        <w:gridCol w:w="826"/>
        <w:gridCol w:w="109"/>
        <w:gridCol w:w="109"/>
        <w:gridCol w:w="109"/>
        <w:gridCol w:w="109"/>
        <w:gridCol w:w="211"/>
        <w:gridCol w:w="826"/>
        <w:gridCol w:w="109"/>
        <w:gridCol w:w="109"/>
        <w:gridCol w:w="109"/>
        <w:gridCol w:w="109"/>
        <w:gridCol w:w="211"/>
        <w:gridCol w:w="826"/>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components of income tax provision from continuing operations:</w:t>
      </w:r>
    </w:p>
    <w:tbl>
      <w:tblPr>
        <w:tblW w:w="5847" w:type="dxa"/>
        <w:jc w:val="center"/>
        <w:tblInd w:w="0" w:type="dxa"/>
        <w:tblLayout w:type="fixed"/>
        <w:tblCellMar>
          <w:top w:w="28" w:type="dxa"/>
          <w:left w:w="28" w:type="dxa"/>
          <w:bottom w:w="28" w:type="dxa"/>
          <w:right w:w="28" w:type="dxa"/>
        </w:tblCellMar>
      </w:tblPr>
      <w:tblGrid>
        <w:gridCol w:w="693"/>
        <w:gridCol w:w="608"/>
        <w:gridCol w:w="619"/>
        <w:gridCol w:w="211"/>
        <w:gridCol w:w="826"/>
        <w:gridCol w:w="109"/>
        <w:gridCol w:w="109"/>
        <w:gridCol w:w="109"/>
        <w:gridCol w:w="109"/>
        <w:gridCol w:w="211"/>
        <w:gridCol w:w="721"/>
        <w:gridCol w:w="109"/>
        <w:gridCol w:w="109"/>
        <w:gridCol w:w="109"/>
        <w:gridCol w:w="109"/>
        <w:gridCol w:w="211"/>
        <w:gridCol w:w="721"/>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components of cash paid for income taxes and tax credits, net of refunds for the year ended December 31, 2025, pursuant to the disclosure requirements of ASU 2023-09:</w:t>
      </w:r>
    </w:p>
    <w:tbl>
      <w:tblPr>
        <w:tblW w:w="3690" w:type="dxa"/>
        <w:jc w:val="left"/>
        <w:tblInd w:w="0" w:type="dxa"/>
        <w:tblLayout w:type="fixed"/>
        <w:tblCellMar>
          <w:top w:w="28" w:type="dxa"/>
          <w:left w:w="28" w:type="dxa"/>
          <w:bottom w:w="28" w:type="dxa"/>
          <w:right w:w="28" w:type="dxa"/>
        </w:tblCellMar>
      </w:tblPr>
      <w:tblGrid>
        <w:gridCol w:w="582"/>
        <w:gridCol w:w="509"/>
        <w:gridCol w:w="514"/>
        <w:gridCol w:w="368"/>
        <w:gridCol w:w="1445"/>
        <w:gridCol w:w="272"/>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shd w:fill="FFFFFF" w:val="clear"/>
              </w:rPr>
            </w:pPr>
            <w:r>
              <w:rPr>
                <w:color w:val="000000"/>
                <w:shd w:fill="FFFFFF" w:val="clear"/>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Year Ended </w:t>
            </w:r>
          </w:p>
          <w:p>
            <w:pPr>
              <w:pStyle w:val="TableContents"/>
              <w:bidi w:val="0"/>
              <w:spacing w:lineRule="auto" w:line="240" w:before="0" w:after="180"/>
              <w:ind w:left="0" w:right="0" w:firstLine="54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December 31, 2025</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67,960 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 and Local</w:t>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w:t>
            </w:r>
          </w:p>
        </w:tc>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 - Federal</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 - Other</w:t>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54,920 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144,357 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1155"/>
                <wp:effectExtent l="0" t="0" r="0" b="0"/>
                <wp:wrapNone/>
                <wp:docPr id="79"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income tax provision from continuing operations resulted in effective tax rates that varied from the federal statutory income tax rate for the year ended December 31, 2025 as summarized below, pursuant to the disclosure requirements of ASU 2023-09:</w:t>
      </w:r>
    </w:p>
    <w:tbl>
      <w:tblPr>
        <w:tblW w:w="6934" w:type="dxa"/>
        <w:jc w:val="left"/>
        <w:tblInd w:w="0" w:type="dxa"/>
        <w:tblLayout w:type="fixed"/>
        <w:tblCellMar>
          <w:top w:w="28" w:type="dxa"/>
          <w:left w:w="28" w:type="dxa"/>
          <w:bottom w:w="28" w:type="dxa"/>
          <w:right w:w="28" w:type="dxa"/>
        </w:tblCellMar>
      </w:tblPr>
      <w:tblGrid>
        <w:gridCol w:w="1538"/>
        <w:gridCol w:w="1351"/>
        <w:gridCol w:w="1356"/>
        <w:gridCol w:w="257"/>
        <w:gridCol w:w="1006"/>
        <w:gridCol w:w="132"/>
        <w:gridCol w:w="132"/>
        <w:gridCol w:w="132"/>
        <w:gridCol w:w="132"/>
        <w:gridCol w:w="240"/>
        <w:gridCol w:w="240"/>
        <w:gridCol w:w="418"/>
      </w:tblGrid>
      <w:tr>
        <w:trPr/>
        <w:tc>
          <w:tcPr>
            <w:tcW w:w="153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 at federal statutory rate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Domestic federal</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and nondeductible items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Cross-border tax laws</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net tax benefits on share-based payments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Domestic state and local tax effects, net of federal</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tax effects</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taxes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Worldwide changes in unrecognized tax benefits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100,140 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2025, state and local tax in California, New York State, New York City and New Jersey make up the majority of the domestic state and local income taxes, net of federal category.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income tax provision from continuing operations resulted in effective tax rates that varied from the federal statutory income tax rate for the years ended December 31, 2024 and 2023 as summarized below:</w:t>
      </w:r>
    </w:p>
    <w:tbl>
      <w:tblPr>
        <w:tblW w:w="6519" w:type="dxa"/>
        <w:jc w:val="center"/>
        <w:tblInd w:w="0" w:type="dxa"/>
        <w:tblLayout w:type="fixed"/>
        <w:tblCellMar>
          <w:top w:w="28" w:type="dxa"/>
          <w:left w:w="28" w:type="dxa"/>
          <w:bottom w:w="28" w:type="dxa"/>
          <w:right w:w="28" w:type="dxa"/>
        </w:tblCellMar>
      </w:tblPr>
      <w:tblGrid>
        <w:gridCol w:w="1469"/>
        <w:gridCol w:w="1296"/>
        <w:gridCol w:w="1300"/>
        <w:gridCol w:w="211"/>
        <w:gridCol w:w="721"/>
        <w:gridCol w:w="109"/>
        <w:gridCol w:w="109"/>
        <w:gridCol w:w="109"/>
        <w:gridCol w:w="109"/>
        <w:gridCol w:w="211"/>
        <w:gridCol w:w="721"/>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at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Detriment from foreign tax rates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not deductible for tax purposes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reserve for uncertain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foreign tax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tax provision for the years ended December 31, 2025 and 2024 was $100.1 million and $70.7 million, respectively. The increase in the income tax provision was primarily due to a less favorable tax benefit related to share-based compensation, resulting from fewer non-qualified stock option exercises and an increase in valuation allowances against certain foreign deferred tax assets as compared to the prior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155"/>
                <wp:effectExtent l="0" t="0" r="0" b="0"/>
                <wp:wrapNone/>
                <wp:docPr id="80" name="Frame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file numerous consolidated and separate income tax returns in the U.S. federal jurisdiction and in many city, state and foreign jurisdictions. We are no longer subject to U.S. federal income tax examinations for years prior to 2022. We are also no longer subject to state and local or foreign tax examinations by tax authorities for years prior to 2019.</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liability for uncertain tax positions was $0.5 million and $0.7 million as of December 31, 2025 and 2024, respectively. As of December 31, 2025, our accrual for the payment of tax-related interest and penalties was not significant.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 Legislation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OBBBA is expected to have immaterial impacts on the current and future year cash flows and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17. Stockholders’ Equity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2, 2016, our Board of Directors authorized a stock repurchase program (the “Repurchase Program”), which was most recently increased by $500.0 million to an aggregate authorization of $2.2 billion on October 21, 2025. No time limit has been established for the completion of the Repurchase Program, and the Repurchase Program may be suspended, discontinued or replaced by the Board of Directors at any time without prior notice. As of December 31, 2025, we had $491.8 million available under the Repurchase Program to repurchase additional shares of our common stock.</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our stock repurchases under the Repurchase Program:</w:t>
      </w:r>
    </w:p>
    <w:tbl>
      <w:tblPr>
        <w:tblW w:w="7947" w:type="dxa"/>
        <w:jc w:val="center"/>
        <w:tblInd w:w="0" w:type="dxa"/>
        <w:tblLayout w:type="fixed"/>
        <w:tblCellMar>
          <w:top w:w="28" w:type="dxa"/>
          <w:left w:w="28" w:type="dxa"/>
          <w:bottom w:w="28" w:type="dxa"/>
          <w:right w:w="28" w:type="dxa"/>
        </w:tblCellMar>
      </w:tblPr>
      <w:tblGrid>
        <w:gridCol w:w="1456"/>
        <w:gridCol w:w="1280"/>
        <w:gridCol w:w="1284"/>
        <w:gridCol w:w="211"/>
        <w:gridCol w:w="826"/>
        <w:gridCol w:w="109"/>
        <w:gridCol w:w="109"/>
        <w:gridCol w:w="109"/>
        <w:gridCol w:w="109"/>
        <w:gridCol w:w="211"/>
        <w:gridCol w:w="721"/>
        <w:gridCol w:w="109"/>
        <w:gridCol w:w="109"/>
        <w:gridCol w:w="109"/>
        <w:gridCol w:w="109"/>
        <w:gridCol w:w="211"/>
        <w:gridCol w:w="721"/>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repurchased and retired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price paid per share </w:t>
            </w:r>
            <w:r>
              <w:rPr>
                <w:rFonts w:ascii="Times New Roman;serif" w:hAnsi="Times New Roman;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cost </w:t>
            </w:r>
            <w:r>
              <w:rPr>
                <w:rFonts w:ascii="Times New Roman;serif" w:hAnsi="Times New Roman;serif"/>
                <w:b w:val="false"/>
                <w:color w:val="000000"/>
                <w:sz w:val="12"/>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    </w:t>
      </w:r>
      <w:r>
        <w:rPr>
          <w:rFonts w:ascii="Times New Roman;serif" w:hAnsi="Times New Roman;serif"/>
          <w:b w:val="false"/>
          <w:color w:val="000000"/>
          <w:sz w:val="20"/>
        </w:rPr>
        <w:t>Excludes excise tax of $8.0 million and commissions incurred during the year ended December 31, 2025.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we repurchase our common shares, we reduce stated capital on our Consolidated Balance Sheets for the $0.01 of par value of the shares repurchased, with the excess purchase price over par value recorded as a reduction to additional paid-in capital. If additional paid-in capital is reduced to zero, we record the remainder of the excess purchase price over par value as a reduction of retained earnings.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Common Stock Outstanding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Common stock outstanding was approximately 30.9 million shares and 35.9 million shares as of December 31, 2025 and 2024, respectively. Common stock outstanding includes unvested restricted stock awards, which are considered issued and outstanding under the terms of the restricted stock award agreements. The decrease in common stock outstanding was primarily due to stock repurchases under the Repurchase Program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18. Employee Benefit Plans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a qualified defined contribution 401(k) plan, which covers substantially all of our U.S. employees. Under the plan, participants are entitled to make pre-tax, Roth post-tax and/or traditional post-tax contributions not to exceed annual maximums established by the Internal Revenue Service (“IRS”). We match a certain percentage of a participant’s combined pre-tax and Roth post-tax contributions pursuant to the terms of the plan, which is limited to a percentage of the participant’s eligible compensation as established by the IRS. We made contributions related to the plan of $39.4 million, $39.5 million and $36.6 million during the years ended December 31, 2025, 2024 and 2023, respectively.</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maintain several defined contribution pension plans for our employees in the United Kingdom (“UK”) and other foreign countries. We contributed to these plans $20.9 million, $17.7 million and $15.3 million during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1155"/>
                <wp:effectExtent l="0" t="0" r="0" b="0"/>
                <wp:wrapNone/>
                <wp:docPr id="81"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19. Segment Reporting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manage our business in five reportable segments: Corporate Finance, FLC, Economic Consulting, Technology and Strategic Communications.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Corporate Finance segment focuses on the strategic, operational, financial, transactional and capital needs of our clients around the world. Our clients include companies, boards of directors, investors, private equity sponsors, lenders, and other financing sources and creditor groups, governments and other interested parties. We deliver a wide range of services centered around three core offerings: Transactions, Transformation and Turnaround &amp; Restructuring.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FLC segment provides law firms, companies, boards of directors, government entities, private equity firms and other interested parties with a multidisciplinary and independent range of services across risk &amp; investigations and disputes, supported by our data &amp; analytics technology-enabled solutions, with a focus on highly regulated industries. Our services are centered around five core offerings: Construction, Projects &amp; Assets and Environmental Solutions, Data &amp; Analytics, Dispute Advisory Services, Healthcare Risk Management &amp; Advisory and Risk &amp; Investigations, which includes our cybersecurity and financial services-related offerings.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Economic Consulting 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    </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Technology segment provides companies, law firms, private equity firms and government entities with a comprehensive global portfolio of digital insights and risk management, artificial intelligence (“AI”) and data services. Our professionals help organizations better address risk as the growing volume and variety of enterprise and emerging data intersects with legal, regulatory and compliance needs. We deliver a wide range of expert and AI-powered solutions driven by five core client needs: Blockchain &amp; Digital Assets, Information Governance, Privacy &amp; Security, Investigations, Litigation, and M&amp;A, Antitrust and Competition.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Strategic Communications segment develops and executes communications strategies to help management teams, boards of directors, law firms, governments and regulators manage change and mitigate risk surrounding transformational and disruptive events, including crises, transactions, investigations, disputes, regulation and legislation. We deliver a wide range of services centered around three core offerings: Corporate Reputation, Financial Communications and Public Affairs.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considered information that is regularly provided to our Chief Executive Officer, who is our chief operating decision maker (“CODM”), for our segment reporting disclosure. Our CODM assesses the performance and allocates resources to each segment based on revenues and multiple measures of segment profit, including gross profit, which is the measure closest to GAAP reporting principles. Gross profit is defined as revenues less direct costs of revenues. Our CODM uses gross profit (i) to evaluate reportable segment performance against budgets, forecasts and strategies and (ii) to make strategic decisions regarding resource allocation, such as billable headcount and related compensation costs, as well as utilization and bill rates of our service offerings. Our CODM is not provided asset information by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1155"/>
                <wp:effectExtent l="0" t="0" r="0" b="0"/>
                <wp:wrapNone/>
                <wp:docPr id="82" name="Frame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tables below summarize revenues, significant expenses and gross profit by reportable segment:</w:t>
      </w:r>
    </w:p>
    <w:tbl>
      <w:tblPr>
        <w:tblW w:w="10769" w:type="dxa"/>
        <w:jc w:val="left"/>
        <w:tblInd w:w="0" w:type="dxa"/>
        <w:tblLayout w:type="fixed"/>
        <w:tblCellMar>
          <w:top w:w="28" w:type="dxa"/>
          <w:left w:w="28" w:type="dxa"/>
          <w:bottom w:w="28" w:type="dxa"/>
          <w:right w:w="28" w:type="dxa"/>
        </w:tblCellMar>
      </w:tblPr>
      <w:tblGrid>
        <w:gridCol w:w="683"/>
        <w:gridCol w:w="311"/>
        <w:gridCol w:w="312"/>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62"/>
        <w:gridCol w:w="1027"/>
        <w:gridCol w:w="137"/>
        <w:gridCol w:w="109"/>
        <w:gridCol w:w="109"/>
        <w:gridCol w:w="109"/>
        <w:gridCol w:w="211"/>
        <w:gridCol w:w="976"/>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Economic</w:t>
              <w:b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Strategic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378,489 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191,252 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238,483 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gross profit </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Economic</w:t>
              <w:b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Strategic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336,041 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213,301 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gross profit </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122,740 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1,181,926 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Economic</w:t>
              <w:b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Strategic 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329,230 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179,485 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210,151 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Segment gross profit </w:t>
            </w:r>
            <w:r>
              <w:rPr>
                <w:rFonts w:ascii="Times New Roman;serif" w:hAnsi="Times New Roman;serif"/>
                <w:b/>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119,079 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1,135,026 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significant expense category and amounts align with the segment-level information that is regularly provided to the CODM.</w:t>
      </w:r>
    </w:p>
    <w:p>
      <w:pPr>
        <w:pStyle w:val="TextBody"/>
        <w:bidi w:val="0"/>
        <w:spacing w:lineRule="auto" w:line="288" w:before="0" w:after="18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Other segment items include expenses for contractor fees, depreciation and other costs. In our Technology segment, other segment items also include expenses related to software, licensing and data storage.</w:t>
      </w:r>
    </w:p>
    <w:p>
      <w:pPr>
        <w:pStyle w:val="TextBody"/>
        <w:bidi w:val="0"/>
        <w:spacing w:lineRule="auto" w:line="288" w:before="0" w:after="18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Includes internal cost recovery for work performed on corporate projects of $17.2 million, $15.3 million and $2.9 million for the years ended December 31, 2025, 2024 and 2023, respectively. Costs associated with billable work performed on corporate projects are included in unallocated corporate expenses as SG&amp;A expenses in the Consolidated Statements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83" name="Frame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income before tax provision to total segment gross profit:</w:t>
      </w:r>
    </w:p>
    <w:tbl>
      <w:tblPr>
        <w:tblW w:w="7092" w:type="dxa"/>
        <w:jc w:val="left"/>
        <w:tblInd w:w="0" w:type="dxa"/>
        <w:tblLayout w:type="fixed"/>
        <w:tblCellMar>
          <w:top w:w="28" w:type="dxa"/>
          <w:left w:w="28" w:type="dxa"/>
          <w:bottom w:w="28" w:type="dxa"/>
          <w:right w:w="28" w:type="dxa"/>
        </w:tblCellMar>
      </w:tblPr>
      <w:tblGrid>
        <w:gridCol w:w="907"/>
        <w:gridCol w:w="796"/>
        <w:gridCol w:w="802"/>
        <w:gridCol w:w="211"/>
        <w:gridCol w:w="976"/>
        <w:gridCol w:w="109"/>
        <w:gridCol w:w="109"/>
        <w:gridCol w:w="109"/>
        <w:gridCol w:w="109"/>
        <w:gridCol w:w="211"/>
        <w:gridCol w:w="976"/>
        <w:gridCol w:w="109"/>
        <w:gridCol w:w="109"/>
        <w:gridCol w:w="109"/>
        <w:gridCol w:w="109"/>
        <w:gridCol w:w="211"/>
        <w:gridCol w:w="97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tax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gross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1,135,026 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details total revenues by country. Revenues have been attributed to locations based on the location of the legal entity generating the revenues.</w:t>
      </w:r>
    </w:p>
    <w:tbl>
      <w:tblPr>
        <w:tblW w:w="7061" w:type="dxa"/>
        <w:jc w:val="left"/>
        <w:tblInd w:w="0" w:type="dxa"/>
        <w:tblLayout w:type="fixed"/>
        <w:tblCellMar>
          <w:top w:w="28" w:type="dxa"/>
          <w:left w:w="28" w:type="dxa"/>
          <w:bottom w:w="28" w:type="dxa"/>
          <w:right w:w="28" w:type="dxa"/>
        </w:tblCellMar>
      </w:tblPr>
      <w:tblGrid>
        <w:gridCol w:w="892"/>
        <w:gridCol w:w="784"/>
        <w:gridCol w:w="798"/>
        <w:gridCol w:w="211"/>
        <w:gridCol w:w="976"/>
        <w:gridCol w:w="109"/>
        <w:gridCol w:w="109"/>
        <w:gridCol w:w="109"/>
        <w:gridCol w:w="109"/>
        <w:gridCol w:w="211"/>
        <w:gridCol w:w="976"/>
        <w:gridCol w:w="109"/>
        <w:gridCol w:w="109"/>
        <w:gridCol w:w="109"/>
        <w:gridCol w:w="109"/>
        <w:gridCol w:w="211"/>
        <w:gridCol w:w="976"/>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 other foreign countries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3,489,242 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There are no countries included in these amounts that individually represented more than 10 percent of total revenues for the years ended December 31, 2025, 2024 and 2023.</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have a single customer that represents 10% or more of our consolidated revenues.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details information on our long-lived assets, which include property and equipment, net and non-current operating lease assets, by country. Long-lived assets have been attributed to locations based on the location of the legal entity holding the assets.</w:t>
      </w:r>
    </w:p>
    <w:tbl>
      <w:tblPr>
        <w:tblW w:w="5138" w:type="dxa"/>
        <w:jc w:val="left"/>
        <w:tblInd w:w="0" w:type="dxa"/>
        <w:tblLayout w:type="fixed"/>
        <w:tblCellMar>
          <w:top w:w="28" w:type="dxa"/>
          <w:left w:w="28" w:type="dxa"/>
          <w:bottom w:w="28" w:type="dxa"/>
          <w:right w:w="28" w:type="dxa"/>
        </w:tblCellMar>
      </w:tblPr>
      <w:tblGrid>
        <w:gridCol w:w="892"/>
        <w:gridCol w:w="784"/>
        <w:gridCol w:w="798"/>
        <w:gridCol w:w="211"/>
        <w:gridCol w:w="826"/>
        <w:gridCol w:w="109"/>
        <w:gridCol w:w="109"/>
        <w:gridCol w:w="109"/>
        <w:gridCol w:w="109"/>
        <w:gridCol w:w="211"/>
        <w:gridCol w:w="826"/>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 other foreign countries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There are no countries included in these amounts that individually represented more than 10 percent of long-lived assets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1155"/>
                <wp:effectExtent l="0" t="0" r="0" b="0"/>
                <wp:wrapNone/>
                <wp:docPr id="84" name="Frame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 evaluation of the effectiveness of the design and operation of our “disclosure controls and procedures” (as defined in Rule 13a-15(e) under the Exchange Act), as of the end of the period covered by this Annual Report on Form 10-K was made under the supervision and with the participation of our management, including our Chief Executive Officer and Interim Chief Financial Officer. Based upon this evaluation, our Chief Executive Officer and Interim Chief Financial Officer have concluded that our disclosure controls and procedures (a) were effective to ensure that information required to be disclosed by us in reports filed or submitted under the Exchange Act is timely recorded, processed, summarized and reported, and (b) included, without limitation, controls and procedures designed to ensure that information required to be disclosed by us in reports filed or submitted under the Exchange Act is accumulated and communicated to our management, including our Chief Executive Officer and Interim Chief Financial Officer, as appropriate, to allow timely decisions regarding required disclosure.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Management’s report on internal control over financial reporting is included in Part II, Item 8, “Financial Statements and Supplementary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not been any changes in our internal control over financial reporting that occurred during the quarter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8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(b) Trading plans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no director or Section 16 officer of the Company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85" name="Frame8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information required in Part III is omitted from this Annual Report but is incorporated herein by reference from our definitive proxy statement for the 2026 Annual Meeting of Shareholders to be filed within 120 days after the end of our fiscal year ended December 31, 2025, pursuant to Regulation 14A with the U.S. Securities and Exchange Commission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our proxy statement under the captions “Information About the Board of Directors and Committees,” “Corporate Governance,” “Information About Our Executive Officers and Compensation” and “Policy on Inside Information and Insider Trading” is incorporated herein by reference.</w:t>
      </w:r>
    </w:p>
    <w:p>
      <w:pPr>
        <w:pStyle w:val="TextBody"/>
        <w:bidi w:val="0"/>
        <w:spacing w:lineRule="auto" w:line="288" w:before="0" w:after="180"/>
        <w:ind w:left="0" w:right="0" w:firstLine="540"/>
        <w:jc w:val="left"/>
        <w:rPr/>
      </w:pPr>
      <w:r>
        <w:rPr>
          <w:rFonts w:ascii="Times New Roman;serif" w:hAnsi="Times New Roman;serif"/>
          <w:b w:val="false"/>
          <w:color w:val="000000"/>
          <w:sz w:val="20"/>
        </w:rPr>
        <w:t>We have adopted the FTI Consulting, Inc. Code of Ethics and Business Conduct (“Code of Ethics”), which applies to our Chairman of the Board, President, Chief Executive Officer, Interim Chief Financial Officer, Chief Accounting Officer and Controller, and our other financial professionals, as well as all our other executive officers, including chief strategy and transformation officer, chief human resources officer, general counsel, and chief risk officer, and our other officers, directors, employees and independent contractors. The Code of Ethics is publicly available on our website at https://www.fticonsulting.com/~/media/Files/us-files/our-firm/guidelines/fti-code-of-conduct.pdf. If we make any substantive amendments to certain provisions of the Code of Ethics or grant any waiver, including any implicit waiver, from a provision of the Code of Ethics to our President, Chief Executive Officer, Interim Chief Financial Officer, Chief Accounting Officer and Controller or persons performing similar functions, other executive officers or directors, we will disclose the nature of such amendment or waiver on our website within four business days following the date of the amendment or waiver, or in a Current Report on Form 8-K filed with the SEC. We will provide a copy of our Code of Ethics without charge upon request to our Corporate Secretary, FTI Consulting, Inc., 555 12</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Street NW, Suite 700, Washington, D.C. 20004, email address: mike.rosenthall@fticonsulting.com.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our proxy statement under the captions “Information About Our Executive Officers and Compensation,” “Compensation of Non-Employee Directors and Policy on Non-Employee Director Equity Ownership” and “Compensation Committee Interlocks and Insider Participation”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our proxy statement under the caption “Security Ownership of Certain Beneficial Owners and Management” and this Annual Report under the caption Part II, Item 5, “Market for the Registrant’s Common Equity, Related Stockholder Matters and Issuer Purchases of Equity Securities — Securities Authorized for Issuance under Equity Compensation Plans”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our proxy statement under the captions “Information About the Board of Directors and Committees” and “Certain Relationships and Related Party Transactions”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KPMG LLP, McLean VA, PCAOB ID Number: 185.</w:t>
      </w:r>
    </w:p>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our proxy statement under the caption “Principal Accountant Fees and Services”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1155"/>
                <wp:effectExtent l="0" t="0" r="0" b="0"/>
                <wp:wrapNone/>
                <wp:docPr id="86" name="Frame8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20"/>
        <w:gridCol w:w="2771"/>
        <w:gridCol w:w="39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are included in this Annual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Report on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 December 31, 2025 and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 Years Ended December 31, 2025, 2024 and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 — Years Ended December 31, 2025, 2024 and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 Years Ended December 31, 2025, 2024 and 2023</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schedules are omitted as the information is not required or is otherwise provided in the financial statements or notes thereto.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Index</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1155"/>
                <wp:effectExtent l="0" t="0" r="0" b="0"/>
                <wp:wrapNone/>
                <wp:docPr id="87" name="Frame8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 INDEX</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17"/>
        <w:gridCol w:w="280"/>
        <w:gridCol w:w="281"/>
        <w:gridCol w:w="2504"/>
        <w:gridCol w:w="2327"/>
        <w:gridCol w:w="2336"/>
        <w:gridCol w:w="237"/>
        <w:gridCol w:w="200"/>
        <w:gridCol w:w="164"/>
        <w:gridCol w:w="305"/>
        <w:gridCol w:w="305"/>
        <w:gridCol w:w="254"/>
        <w:gridCol w:w="240"/>
        <w:gridCol w:w="211"/>
        <w:gridCol w:w="244"/>
      </w:tblGrid>
      <w:tr>
        <w:trPr/>
        <w:tc>
          <w:tcPr>
            <w:tcW w:w="31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Number</w:t>
            </w:r>
          </w:p>
        </w:tc>
        <w:tc>
          <w:tcPr>
            <w:tcW w:w="7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c>
          <w:tcPr>
            <w:tcW w:w="6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8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c>
          <w:tcPr>
            <w:tcW w:w="6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 Date</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8"/>
                  <w:u w:val="single"/>
                </w:rPr>
                <w:t>Articles of Incorporation of FTI Consulting, Inc., as Amended and Restated</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99.2</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05/23/2003</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Articles of Amendment dated June 1, 2011 to Charter of FTI Consulting, Inc.</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06/02/2011</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Bylaws of FTI Consulting, Inc., as Amended and Restated Adopted February 21, 2023</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02/21/2023</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8"/>
                  <w:u w:val="single"/>
                </w:rPr>
                <w:t>Description of Securities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02/25/2020</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8"/>
                  <w:u w:val="single"/>
                </w:rPr>
                <w:t>Second Amendment and Restatement Agreement, dated as of November 21, 2022, among FTI Consulting, Inc., a Maryland corporation, the Subsidiaries of the Company party hereto, as Guarantors, the Lenders and L/C Issuers party hereto and Bank of America, N.A., as administrative agent</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11/22/2022</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18"/>
                  <w:u w:val="single"/>
                </w:rPr>
                <w:t>Amended and Restated Lease dated as of October 26, 2020 by and between 1166 LLC and FTI Consulting, Inc.</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10/29/2020</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18"/>
                  <w:u w:val="single"/>
                </w:rPr>
                <w:t>Agreement for Leases, dated November 21, 2025, by and among FTI Consulting, Inc., PNBJ I Limited (the “Landlord”), and FTI Consulting Management Limited</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11/26/2025</w:t>
            </w:r>
          </w:p>
        </w:tc>
      </w:tr>
      <w:tr>
        <w:trPr/>
        <w:tc>
          <w:tcPr>
            <w:tcW w:w="8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18"/>
                  <w:u w:val="single"/>
                </w:rPr>
                <w:t>FTI Consulting, Inc. Deferred Compensation Plan for Key Employees and Non-Employee Directors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 14A</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Appendix B</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04/28/2006</w:t>
            </w:r>
          </w:p>
        </w:tc>
      </w:tr>
      <w:tr>
        <w:trPr/>
        <w:tc>
          <w:tcPr>
            <w:tcW w:w="8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10.10.1†</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18"/>
                  <w:u w:val="single"/>
                </w:rPr>
                <w:t>Form of FTI Consulting, Inc. Deferred Compensation Plan For Key Employees and Non-Employee Directors Restricted Stock Unit Agreement for Non-Employee Directors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S-8</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99.1</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06/06/2006</w:t>
            </w:r>
          </w:p>
        </w:tc>
      </w:tr>
      <w:tr>
        <w:trPr/>
        <w:tc>
          <w:tcPr>
            <w:tcW w:w="8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10.10.2†</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18"/>
                  <w:u w:val="single"/>
                </w:rPr>
                <w:t>Form of FTI Consulting, Inc. Deferred Compensation Plan For Key Employees and Non-Employee Directors Stock Unit Agreement for Non-Employee Directors</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S-8</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99.2</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06/06/2006</w:t>
            </w:r>
          </w:p>
        </w:tc>
      </w:tr>
      <w:tr>
        <w:trPr/>
        <w:tc>
          <w:tcPr>
            <w:tcW w:w="8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10.10.3†</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18"/>
                  <w:u w:val="single"/>
                </w:rPr>
                <w:t>FTI Consulting, Inc. Deferred Compensation Plan For Key Employees and Non-Employee Directors Restricted Stock Unit Agreement for Non-Employee Directors Under the Non-Employee Director Compensation Plan, as Amended and Restated Effective as of February 20, 2008</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05/07/2008</w:t>
            </w:r>
          </w:p>
        </w:tc>
      </w:tr>
      <w:tr>
        <w:trPr/>
        <w:tc>
          <w:tcPr>
            <w:tcW w:w="8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18"/>
                  <w:u w:val="single"/>
                </w:rPr>
                <w:t>FTI Consulting, Inc. Non-Employee Director Compensation Plan Amended and Restated as of January 1, 2016</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10.70</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02/25/2016</w:t>
            </w:r>
          </w:p>
        </w:tc>
      </w:tr>
      <w:tr>
        <w:trPr/>
        <w:tc>
          <w:tcPr>
            <w:tcW w:w="8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10.11.1†</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18"/>
                  <w:u w:val="single"/>
                </w:rPr>
                <w:t>Form of Deferred Restricted Stock Unit Award Agreement for Non-Employee Directors Pursuant to the FTI Consulting, Inc. Non-Employee Director Compensation Plan Amended and Restated as of January 1, 2016</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10.71</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02/25/2016</w:t>
            </w:r>
          </w:p>
        </w:tc>
      </w:tr>
      <w:tr>
        <w:trPr/>
        <w:tc>
          <w:tcPr>
            <w:tcW w:w="8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10.11.2†</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18"/>
                  <w:u w:val="single"/>
                </w:rPr>
                <w:t>Form of Restricted Stock Unit Award Agreement for Non-Employee Directors Pursuant to the FTI Consulting, Inc. Non-Employee Director Compensation Plan Amended and Restated as of January 1, 2016</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10.72</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02/25/2016</w:t>
            </w:r>
          </w:p>
        </w:tc>
      </w:tr>
      <w:tr>
        <w:trPr/>
        <w:tc>
          <w:tcPr>
            <w:tcW w:w="8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10.11.3†</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18"/>
                  <w:u w:val="single"/>
                </w:rPr>
                <w:t>Form of Restricted Stock [or Restricted Stock Unit] Award Agreement for Non-Employee Directors Pursuant to the FTI Consulting, Inc. Non-Employee Director Compensation Plan Amended and Restated as of January 1, 2016</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10.73</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02/25/2016</w:t>
            </w:r>
          </w:p>
        </w:tc>
      </w:tr>
      <w:tr>
        <w:trPr/>
        <w:tc>
          <w:tcPr>
            <w:tcW w:w="8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18"/>
                  <w:u w:val="single"/>
                </w:rPr>
                <w:t>FTI Consulting, Inc. Incentive Compensation Plan</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 14A</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Appendix A</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04/20/2016</w:t>
            </w:r>
          </w:p>
        </w:tc>
      </w:tr>
      <w:tr>
        <w:trPr/>
        <w:tc>
          <w:tcPr>
            <w:tcW w:w="8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18"/>
                  <w:u w:val="single"/>
                </w:rPr>
                <w:t>FTI Consulting, Inc. 2009 Omnibus Incentive Compensation Plan, Amended and Restated Effective as of June 3, 2015</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 14A</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Appendix A</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04/21/2015</w:t>
            </w:r>
          </w:p>
        </w:tc>
      </w:tr>
      <w:tr>
        <w:trPr/>
        <w:tc>
          <w:tcPr>
            <w:tcW w:w="8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10.13.1†</w:t>
            </w:r>
          </w:p>
        </w:tc>
        <w:tc>
          <w:tcPr>
            <w:tcW w:w="7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18"/>
                  <w:u w:val="single"/>
                </w:rPr>
                <w:t>Form of Non-Statutory Stock Option Award Agreement under the FTI Consulting, Inc. 2009 Omnibus Incentive Compensation Plan, Amended and Restated Effective as of June 3, 2015</w:t>
              </w:r>
            </w:hyperlink>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10.63</w:t>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02/25/2016</w:t>
            </w:r>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1155"/>
                <wp:effectExtent l="0" t="0" r="0" b="0"/>
                <wp:wrapNone/>
                <wp:docPr id="88" name="Frame8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378"/>
        <w:gridCol w:w="314"/>
        <w:gridCol w:w="315"/>
        <w:gridCol w:w="2585"/>
        <w:gridCol w:w="2302"/>
        <w:gridCol w:w="2308"/>
        <w:gridCol w:w="223"/>
        <w:gridCol w:w="196"/>
        <w:gridCol w:w="169"/>
        <w:gridCol w:w="223"/>
        <w:gridCol w:w="223"/>
        <w:gridCol w:w="203"/>
        <w:gridCol w:w="251"/>
        <w:gridCol w:w="230"/>
        <w:gridCol w:w="285"/>
      </w:tblGrid>
      <w:tr>
        <w:trPr/>
        <w:tc>
          <w:tcPr>
            <w:tcW w:w="37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Number</w:t>
            </w:r>
          </w:p>
        </w:tc>
        <w:tc>
          <w:tcPr>
            <w:tcW w:w="7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c>
          <w:tcPr>
            <w:tcW w:w="5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6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 Date</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10.13.2†</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18"/>
                  <w:u w:val="single"/>
                </w:rPr>
                <w:t>Form of Incentive Stock Option Award Agreement under the FTI Consulting, Inc. 2009 Omnibus Incentive Compensation Plan, Amended and Restated Effective as of June 3, 2015</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10.64</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02/25/2016</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18"/>
                  <w:u w:val="single"/>
                </w:rPr>
                <w:t>FTI Consulting, Inc. 2017 Omnibus Incentive Compensation Plan (Adopted Effective as of June 7, 2017, as Amended Effective as of June 4, 2025)</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06/05/2025</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10.14.1†</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18"/>
                  <w:u w:val="single"/>
                </w:rPr>
                <w:t>Form of Executive Long-Term Incentive Pay Restricted Stock Award Agreement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10.14.2†</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18"/>
                  <w:u w:val="single"/>
                </w:rPr>
                <w:t>Form of Executive Long-Term Incentive Pay Incentive Stock Option Award Agreement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10.14.3†</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18"/>
                  <w:u w:val="single"/>
                </w:rPr>
                <w:t>Form of Executive Long-Term Incentive Pay Performance-Based Restricted Stock Unit Award Agreement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10.14.4†</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18"/>
                  <w:u w:val="single"/>
                </w:rPr>
                <w:t>Form of General Restricted Stock Award Agreement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10.14.5†</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18"/>
                  <w:u w:val="single"/>
                </w:rPr>
                <w:t>Form of General Restricted Stock Unit Award Agreement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10.14.6†</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18"/>
                  <w:u w:val="single"/>
                </w:rPr>
                <w:t>Form of General Incentive Stock Option Agreement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10.14.7†</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18"/>
                  <w:u w:val="single"/>
                </w:rPr>
                <w:t>Form of General Nonstatutory Stock Option Agreement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10.14.8†</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18"/>
                  <w:u w:val="single"/>
                </w:rPr>
                <w:t>Form of General Performance-Based Restricted Stock Unit Award Agreement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10.14.9†</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18"/>
                  <w:u w:val="single"/>
                </w:rPr>
                <w:t>Form of General Cash Unit Award Agreement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10.14.10†</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18"/>
                  <w:u w:val="single"/>
                </w:rPr>
                <w:t>Form of General Cash-Based Stock Appreciation Right Award Agreement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10.14.11†</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18"/>
                  <w:u w:val="single"/>
                </w:rPr>
                <w:t>Form of General Cash-Based Performance Unit Award Agreement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10.14.12†</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18"/>
                  <w:u w:val="single"/>
                </w:rPr>
                <w:t>Form of Restricted Stock Award Agreement for Non-Employee Directors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10.14.13†</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18"/>
                  <w:u w:val="single"/>
                </w:rPr>
                <w:t>Form of Restricted Stock Unit Award Agreement for Non-Employee Directors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10.14.14†</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18"/>
                  <w:u w:val="single"/>
                </w:rPr>
                <w:t>Form of Deferred Stock Unit Award Agreement for Non-Employee Directors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10.14.15†</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18"/>
                  <w:u w:val="single"/>
                </w:rPr>
                <w:t>Form of Deferred Restricted Stock Unit Award Agreement for Non-Employee Directors under the FTI Consulting, Inc. 2017 Omnibus Incentive Compensation Plan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07/27/2017</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10.20†</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18"/>
                  <w:u w:val="single"/>
                </w:rPr>
                <w:t>Amended and Restated Employment Agreement, dated December 8, 2025, by and between FTI Consulting, Inc. and Steven H. Gunby</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12/09/2025</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10.21†</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18"/>
                  <w:u w:val="single"/>
                </w:rPr>
                <w:t>Offer of Employment Letter dated July 15, 2014, by and between FTI Consulting, Inc. and Paul Linton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10/30/2014</w:t>
            </w:r>
          </w:p>
        </w:tc>
      </w:tr>
      <w:tr>
        <w:trPr/>
        <w:tc>
          <w:tcPr>
            <w:tcW w:w="10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10.21.1†</w:t>
            </w:r>
          </w:p>
        </w:tc>
        <w:tc>
          <w:tcPr>
            <w:tcW w:w="71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18"/>
                  <w:u w:val="single"/>
                </w:rPr>
                <w:t>Amendment No. 1 effective as of March 21, 2017 to Offer of Employment Letter dated July 15, 2014, by and between FTI Consulting, Inc. and Paul Linton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03/23/2017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1155"/>
                <wp:effectExtent l="0" t="0" r="0" b="0"/>
                <wp:wrapNone/>
                <wp:docPr id="89" name="Frame8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92"/>
        <w:gridCol w:w="258"/>
        <w:gridCol w:w="259"/>
        <w:gridCol w:w="2693"/>
        <w:gridCol w:w="2436"/>
        <w:gridCol w:w="2445"/>
        <w:gridCol w:w="223"/>
        <w:gridCol w:w="179"/>
        <w:gridCol w:w="137"/>
        <w:gridCol w:w="223"/>
        <w:gridCol w:w="223"/>
        <w:gridCol w:w="191"/>
        <w:gridCol w:w="233"/>
        <w:gridCol w:w="199"/>
        <w:gridCol w:w="214"/>
      </w:tblGrid>
      <w:tr>
        <w:trPr/>
        <w:tc>
          <w:tcPr>
            <w:tcW w:w="2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Number</w:t>
            </w:r>
          </w:p>
        </w:tc>
        <w:tc>
          <w:tcPr>
            <w:tcW w:w="7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c>
          <w:tcPr>
            <w:tcW w:w="5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6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c>
          <w:tcPr>
            <w:tcW w:w="6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 Date</w:t>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10.21.2†</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18"/>
                  <w:u w:val="single"/>
                </w:rPr>
                <w:t>Amendment No. 2 effective as of February 28, 2019 to Offer of Employment Letter dated as of July 15, 2014, by and between FTI Consulting, Inc. and Paul Linton</w:t>
              </w:r>
            </w:hyperlink>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03/04/2019</w:t>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10.22†</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FF"/>
                  <w:sz w:val="18"/>
                  <w:u w:val="single"/>
                </w:rPr>
                <w:t>Status of Employment Letter, dated December 5, 2025, by and between FTI Consulting, Inc. and Holly Paul.</w:t>
              </w:r>
            </w:hyperlink>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12/09/2025</w:t>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10.23†</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FF"/>
                  <w:sz w:val="18"/>
                  <w:u w:val="single"/>
                </w:rPr>
                <w:t>Employment Letter dated May 14, 2015 between FTI Consulting, Inc. and Curtis Lu</w:t>
              </w:r>
            </w:hyperlink>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07/30/2015</w:t>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10.23.1†</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18"/>
                  <w:u w:val="single"/>
                </w:rPr>
                <w:t>Amendment No. 1 effective as of March 21, 2017 to Employment Letter dated May 14, 2015, by and between FTI Consulting, Inc. and Curtis Lu</w:t>
              </w:r>
            </w:hyperlink>
            <w:r>
              <w:rPr>
                <w:color w:val="000000"/>
              </w:rPr>
              <w:t xml:space="preserve"> </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03/23/2017</w:t>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10.23.2†</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FF"/>
                  <w:sz w:val="18"/>
                  <w:u w:val="single"/>
                </w:rPr>
                <w:t>Amendment No. 2 effective as of February 28, 2019 to Offer of Employment Letter dated as of May 14, 2015, by and between FTI Consulting, Inc. and Curtis Lu</w:t>
              </w:r>
            </w:hyperlink>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03/04/2019</w:t>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10.24†</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erif" w:hAnsi="Times New Roman;serif"/>
                  <w:b w:val="false"/>
                  <w:color w:val="0000FF"/>
                  <w:sz w:val="18"/>
                  <w:u w:val="single"/>
                </w:rPr>
                <w:t>Offer Letter dated as of March 1, 2019, by and between FTI Consulting, Inc. and Brendan Keating</w:t>
              </w:r>
            </w:hyperlink>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03/07/2019</w:t>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14.1</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erif" w:hAnsi="Times New Roman;serif"/>
                  <w:b w:val="false"/>
                  <w:color w:val="0000FF"/>
                  <w:sz w:val="18"/>
                  <w:u w:val="single"/>
                </w:rPr>
                <w:t>FTI Consulting, Inc. Code of Ethics and Business Conduct, Amended and Restated Effective as of September 26, 2024</w:t>
              </w:r>
            </w:hyperlink>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14.1</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09/26/2024</w:t>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erif" w:hAnsi="Times New Roman;serif"/>
                  <w:b w:val="false"/>
                  <w:color w:val="0000FF"/>
                  <w:sz w:val="18"/>
                  <w:u w:val="single"/>
                </w:rPr>
                <w:t>Policy on Insider Information and Insider Trading, Amended and Restated Effective February 27, 2023</w:t>
              </w:r>
            </w:hyperlink>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04/27/2023</w:t>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21.1*</w:t>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i-123125x10kex211.htm">
              <w:r>
                <w:rPr>
                  <w:rStyle w:val="InternetLink"/>
                  <w:rFonts w:ascii="Times New Roman;serif" w:hAnsi="Times New Roman;serif"/>
                  <w:b w:val="false"/>
                  <w:color w:val="0000FF"/>
                  <w:sz w:val="18"/>
                  <w:u w:val="single"/>
                </w:rPr>
                <w:t>Subsidiaries of FTI Consulting, Inc.</w:t>
              </w:r>
            </w:hyperlink>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23.1*</w:t>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i-123125x10kex231.htm">
              <w:r>
                <w:rPr>
                  <w:rStyle w:val="InternetLink"/>
                  <w:rFonts w:ascii="Times New Roman;serif" w:hAnsi="Times New Roman;serif"/>
                  <w:b w:val="false"/>
                  <w:color w:val="0000FF"/>
                  <w:sz w:val="18"/>
                  <w:u w:val="single"/>
                </w:rPr>
                <w:t>Consent of KPMG LLP.</w:t>
              </w:r>
            </w:hyperlink>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i-123125x10kex311.htm">
              <w:r>
                <w:rPr>
                  <w:rStyle w:val="InternetLink"/>
                  <w:rFonts w:ascii="Times New Roman;serif" w:hAnsi="Times New Roman;serif"/>
                  <w:b w:val="false"/>
                  <w:color w:val="0000FF"/>
                  <w:sz w:val="18"/>
                  <w:u w:val="single"/>
                </w:rPr>
                <w:t>Certification of Principal Executive Officer pursuant to Rule 13a-14(a) and 15d-14(a) under the Securities Exchange Act of 1934, as amended (Section 302 of the Sarbanes-Oxley Act of 2002)</w:t>
              </w:r>
            </w:hyperlink>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i-123125x10kex312.htm">
              <w:r>
                <w:rPr>
                  <w:rStyle w:val="InternetLink"/>
                  <w:rFonts w:ascii="Times New Roman;serif" w:hAnsi="Times New Roman;serif"/>
                  <w:b w:val="false"/>
                  <w:color w:val="0000FF"/>
                  <w:sz w:val="18"/>
                  <w:u w:val="single"/>
                </w:rPr>
                <w:t>Certification of Principal Financial Officer pursuant to Rule 13a-14(a) and 15d-14(a) under the Securities Exchange Act of 1934, as amended (Section 302 of the Sarbanes-Oxley Act of 2002)</w:t>
              </w:r>
            </w:hyperlink>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i-123125x10kex321.htm">
              <w:r>
                <w:rPr>
                  <w:rStyle w:val="InternetLink"/>
                  <w:rFonts w:ascii="Times New Roman;serif" w:hAnsi="Times New Roman;serif"/>
                  <w:b w:val="false"/>
                  <w:color w:val="0000FF"/>
                  <w:sz w:val="18"/>
                  <w:u w:val="single"/>
                </w:rPr>
                <w:t>Certification of Principal Executive Officer Pursuant to 18 USC. Section 1350 (Section 906 of the Sarbanes-Oxley Act of 2002)</w:t>
              </w:r>
            </w:hyperlink>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i-123125x10kex322.htm">
              <w:r>
                <w:rPr>
                  <w:rStyle w:val="InternetLink"/>
                  <w:rFonts w:ascii="Times New Roman;serif" w:hAnsi="Times New Roman;serif"/>
                  <w:b w:val="false"/>
                  <w:color w:val="0000FF"/>
                  <w:sz w:val="18"/>
                  <w:u w:val="single"/>
                </w:rPr>
                <w:t>Certification of Principal Financial Officer Pursuant to 18 USC. Section 1350 (Section 906 of the Sarbanes-Oxley Act of 2002)</w:t>
              </w:r>
            </w:hyperlink>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75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erif" w:hAnsi="Times New Roman;serif"/>
                  <w:b w:val="false"/>
                  <w:color w:val="0000FF"/>
                  <w:sz w:val="18"/>
                  <w:u w:val="single"/>
                </w:rPr>
                <w:t>Compensation Recoupment (Clawback) Policy Effective October 2, 2023</w:t>
              </w:r>
            </w:hyperlink>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02/22/2024</w:t>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following financial information from the Annual Report on Form 10-K of FTI Consulting, Inc. for the year ended December 31, 2025, included herewith, and formatted in Inline XBRL (eXtensible Business Reporting Language): (i) Consolidated Balance Sheets; (ii) Consolidated Statements of Comprehensive Income; (iii) Consolidated Statements of Stockholders’ Equity; (iv) Consolidated Statements of Cash Flows; and (v) Notes to the Consolidated Financial Statements, tagged as blocks of text.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7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cover page from the Company's Annual Report on Form 10-K for the year ended December 31, 2025, formatted in Inline XBRL (included as Exhibit 101).</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Furnished herewith. 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pStyle w:val="TextBody"/>
        <w:bidi w:val="0"/>
        <w:spacing w:lineRule="auto" w:line="288" w:before="0" w:after="0"/>
        <w:ind w:left="0" w:right="0" w:hanging="270"/>
        <w:jc w:val="left"/>
        <w:rPr>
          <w:color w:val="000000"/>
        </w:rPr>
      </w:pPr>
      <w:r>
        <w:rPr>
          <w:color w:val="000000"/>
        </w:rPr>
        <w:t xml:space="preserve">† </w:t>
      </w:r>
      <w:r>
        <w:rPr>
          <w:rFonts w:ascii="Times New Roman;serif" w:hAnsi="Times New Roman;serif"/>
          <w:b w:val="false"/>
          <w:color w:val="000000"/>
          <w:sz w:val="18"/>
        </w:rPr>
        <w:t>Management contract or compensatory plan or arrangement.</w:t>
      </w:r>
    </w:p>
    <w:p>
      <w:pPr>
        <w:pStyle w:val="TextBody"/>
        <w:bidi w:val="0"/>
        <w:spacing w:lineRule="auto" w:line="288" w:before="0" w:after="18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With certain exceptions, annexes, exhibits and schedules (or similar attachments) are not filed. FTI Consulting, Inc. will furnish supplementally a copy of any omitted annex, exhibit or schedule (or similar attachment)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1155"/>
                <wp:effectExtent l="0" t="0" r="0" b="0"/>
                <wp:wrapNone/>
                <wp:docPr id="90" name="Frame9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this 26th day of February 2026.</w:t>
      </w:r>
    </w:p>
    <w:tbl>
      <w:tblPr>
        <w:tblW w:w="4442" w:type="dxa"/>
        <w:jc w:val="right"/>
        <w:tblInd w:w="0" w:type="dxa"/>
        <w:tblLayout w:type="fixed"/>
        <w:tblCellMar>
          <w:top w:w="28" w:type="dxa"/>
          <w:left w:w="28" w:type="dxa"/>
          <w:bottom w:w="28" w:type="dxa"/>
          <w:right w:w="28" w:type="dxa"/>
        </w:tblCellMar>
      </w:tblPr>
      <w:tblGrid>
        <w:gridCol w:w="376"/>
        <w:gridCol w:w="331"/>
        <w:gridCol w:w="331"/>
        <w:gridCol w:w="991"/>
        <w:gridCol w:w="991"/>
        <w:gridCol w:w="1422"/>
      </w:tblGrid>
      <w:tr>
        <w:trPr/>
        <w:tc>
          <w:tcPr>
            <w:tcW w:w="3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44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INC.</w:t>
            </w:r>
          </w:p>
        </w:tc>
      </w:tr>
      <w:tr>
        <w:trPr/>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H. GUNBY</w:t>
            </w:r>
          </w:p>
        </w:tc>
      </w:tr>
      <w:tr>
        <w:trPr/>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Steven H. Gunby</w:t>
            </w:r>
          </w:p>
        </w:tc>
      </w:tr>
      <w:tr>
        <w:trPr/>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Chairman</w:t>
            </w:r>
          </w:p>
        </w:tc>
      </w:tr>
    </w:tbl>
    <w:p>
      <w:pPr>
        <w:pStyle w:val="TextBody"/>
        <w:bidi w:val="0"/>
        <w:spacing w:lineRule="auto" w:line="288" w:before="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617" w:type="dxa"/>
        <w:jc w:val="left"/>
        <w:tblInd w:w="0" w:type="dxa"/>
        <w:tblLayout w:type="fixed"/>
        <w:tblCellMar>
          <w:top w:w="28" w:type="dxa"/>
          <w:left w:w="28" w:type="dxa"/>
          <w:bottom w:w="28" w:type="dxa"/>
          <w:right w:w="28" w:type="dxa"/>
        </w:tblCellMar>
      </w:tblPr>
      <w:tblGrid>
        <w:gridCol w:w="1062"/>
        <w:gridCol w:w="934"/>
        <w:gridCol w:w="943"/>
        <w:gridCol w:w="109"/>
        <w:gridCol w:w="109"/>
        <w:gridCol w:w="109"/>
        <w:gridCol w:w="1129"/>
        <w:gridCol w:w="1129"/>
        <w:gridCol w:w="1132"/>
        <w:gridCol w:w="109"/>
        <w:gridCol w:w="109"/>
        <w:gridCol w:w="109"/>
        <w:gridCol w:w="478"/>
        <w:gridCol w:w="478"/>
        <w:gridCol w:w="678"/>
      </w:tblGrid>
      <w:tr>
        <w:trPr/>
        <w:tc>
          <w:tcPr>
            <w:tcW w:w="10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 IN WHICH SIGNED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H. GUNBY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b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Steven H. Gunby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LINTON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Paul Linton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BRENDAN KEATING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Accounting Officer and Controller</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Brendan Keating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S. BARTLETT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 S. Bartlett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ELSY BOGLIOLI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Elsy Boglioli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CLAUDIO COSTAMAGNA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Claudio Costamagna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NICHOLAS C. FANANDAKIS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Nicholas C. Fanandakis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STEPHEN C. ROBINSON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Stephen C. Robinson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LAUREEN E. SEEGER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Laureen E. Seeger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T. STEIGERWALT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Eric T. Steigerwalt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JANET H. ZELENKA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Janet H. Zelenka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1155"/>
                <wp:effectExtent l="0" t="0" r="0" b="0"/>
                <wp:wrapNone/>
                <wp:docPr id="91" name="Frame9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Schedule of Subsidiaries of FTI Consulting, Inc.</w:t>
      </w:r>
    </w:p>
    <w:tbl>
      <w:tblPr>
        <w:tblW w:w="7812" w:type="dxa"/>
        <w:jc w:val="left"/>
        <w:tblInd w:w="0" w:type="dxa"/>
        <w:tblLayout w:type="fixed"/>
        <w:tblCellMar>
          <w:top w:w="28" w:type="dxa"/>
          <w:left w:w="28" w:type="dxa"/>
          <w:bottom w:w="28" w:type="dxa"/>
          <w:right w:w="28" w:type="dxa"/>
        </w:tblCellMar>
      </w:tblPr>
      <w:tblGrid>
        <w:gridCol w:w="1825"/>
        <w:gridCol w:w="1603"/>
        <w:gridCol w:w="1612"/>
        <w:gridCol w:w="109"/>
        <w:gridCol w:w="109"/>
        <w:gridCol w:w="109"/>
        <w:gridCol w:w="716"/>
        <w:gridCol w:w="716"/>
        <w:gridCol w:w="1013"/>
      </w:tblGrid>
      <w:tr>
        <w:trPr/>
        <w:tc>
          <w:tcPr>
            <w:tcW w:w="182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Compass Lexecon (Belgium) SRL</w:t>
              <w:br/>
              <w:t>[fka Compass Lexecon (Belgium) SPRL]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Compass Lexecon Economic Consulting (Beijing)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Compass Lexecon LLC</w:t>
              <w:br/>
              <w:t>[fka Lexecon, LLC]</w:t>
              <w:br/>
              <w:t>[fka LI Acquisition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Compass Lexecon SRL</w:t>
              <w:br/>
              <w:t>[fka FTI Consulting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Argentina</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Compass Lexecon Portugal, Unipessoal Lda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Portugal</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Compass Lexecon Spain, S.L.U.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 MWA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Delaware </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Ferrier Hodgson Management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Philippines </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 Asset Management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Philippines </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 Corporate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Philippines </w:t>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FTI (China) Limited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[fka Thompson Market Services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Capital Advisors - Canada ULC</w:t>
              <w:br/>
              <w:t>[fka FTI Consulting (Canada) Capital Advisors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Canada </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Capital Advisors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Australia, New South Wales </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Capital Advisors (DIFC)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UAE</w:t>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FTI Capital Advisors (Hong Kong) Limited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[fka FTI Consulting Capital Advisors (Hong Kong) Limited] </w:t>
              <w:br/>
              <w:t xml:space="preserve">[fka FTI Consulting (Hong Kong) Services Four Limited] </w:t>
              <w:br/>
              <w:t xml:space="preserve">[fka Sun Easy Investment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Hong Kong </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Capital Advisors Brasil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Capital Advisors, LLC </w:t>
              <w:br/>
              <w:t>[fka FTI Merger &amp; Acquisition Advisors,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Capital Management (Cayman)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Capital Management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Maryland </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Cayman Group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 FD Australia Holdings Pty Ltd </w:t>
              <w:br/>
              <w:t>[fka FD Australia Holdings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Australia, Victoria </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 Qatar LLC</w:t>
              <w:br/>
              <w:t xml:space="preserve">[fka Dispute Resolution Consulting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Qatar </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(Asia) Ltd</w:t>
              <w:br/>
              <w:t>[fka International Risk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(BVI) Limited</w:t>
              <w:br/>
              <w:t xml:space="preserve">[fka FTI Forensic Accounting Limited] </w:t>
              <w:br/>
              <w:t>[fka Forensic Accounting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British Virgin Islands </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(Cayman) Ltd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(China) Ltd. </w:t>
              <w:br/>
              <w:t xml:space="preserve">Fka Thompson Market Services (Shanghai) Co. Ltd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(DIFC)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2425"/>
                <wp:effectExtent l="0" t="0" r="0" b="0"/>
                <wp:wrapNone/>
                <wp:docPr id="92" name="Frame9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p>
                      <w:pPr>
                        <w:pStyle w:val="TextBody"/>
                        <w:bidi w:val="0"/>
                        <w:spacing w:before="0" w:after="0"/>
                        <w:jc w:val="left"/>
                        <w:rPr/>
                      </w:pPr>
                      <w:r>
                        <w:rPr/>
                      </w:r>
                    </w:p>
                  </w:txbxContent>
                </v:textbox>
                <w10:wrap type="none"/>
              </v:rect>
            </w:pict>
          </mc:Fallback>
        </mc:AlternateContent>
      </w:r>
    </w:p>
    <w:tbl>
      <w:tblPr>
        <w:tblW w:w="8066" w:type="dxa"/>
        <w:jc w:val="left"/>
        <w:tblInd w:w="0" w:type="dxa"/>
        <w:tblLayout w:type="fixed"/>
        <w:tblCellMar>
          <w:top w:w="28" w:type="dxa"/>
          <w:left w:w="28" w:type="dxa"/>
          <w:bottom w:w="28" w:type="dxa"/>
          <w:right w:w="28" w:type="dxa"/>
        </w:tblCellMar>
      </w:tblPr>
      <w:tblGrid>
        <w:gridCol w:w="1919"/>
        <w:gridCol w:w="1683"/>
        <w:gridCol w:w="1692"/>
        <w:gridCol w:w="109"/>
        <w:gridCol w:w="109"/>
        <w:gridCol w:w="109"/>
        <w:gridCol w:w="713"/>
        <w:gridCol w:w="713"/>
        <w:gridCol w:w="1019"/>
      </w:tblGrid>
      <w:tr>
        <w:trPr/>
        <w:tc>
          <w:tcPr>
            <w:tcW w:w="191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(Government Affairs)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(Hong Kong)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Hong Kong </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(Hong Kong) Services One Limited</w:t>
              <w:br/>
              <w:t xml:space="preserve">[fka Chater Secretaries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Hong Kong </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(Hong Kong) Services Two Limited </w:t>
              <w:br/>
              <w:t xml:space="preserve">[fka Lansdowne Nominees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Hong Kong </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(ME)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5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FTI Consulting (Netherlands) B.V.</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[fka Bold Capital Management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(Perth) Pty Ltd</w:t>
              <w:br/>
              <w:t>[fka FD PTY LIMITED]</w:t>
              <w:br/>
              <w:t>[fka FD Third Person Perth Pty Limited]</w:t>
              <w:br/>
              <w:t xml:space="preserve">[fka Kudos Consultants Pty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(SC) Inc.</w:t>
              <w:br/>
              <w:t>[fka FD U.S. Communications,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(Singapore) PTE. LTD.</w:t>
              <w:br/>
              <w:t>[fka FS Asia Advisory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Singapore </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(Strategic Communications) S.A.S. </w:t>
              <w:br/>
              <w:t>[fka Financial Dynamics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(Sydney) Pty Ltd </w:t>
              <w:br/>
              <w:t>[fka FD (Sydney) PTY LTD]</w:t>
              <w:br/>
              <w:t>[fka FD Third Person Pty Limited]</w:t>
              <w:br/>
              <w:t>[fka Third Person Communications Pty Limited]</w:t>
              <w:br/>
              <w:t>[fka Kelly Gold Partners Pty Ltd]</w:t>
              <w:br/>
              <w:t>[fka Thornton Kelly Gold Communications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Australia, New South Wales </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Acuity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Maryland </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Australia Nominees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B.V.</w:t>
              <w:br/>
              <w:t>[fka Irharo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Beirut Limited SAL Offshore (Sole Shareholder)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Lebanon</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Belgium SRL</w:t>
              <w:br/>
              <w:t>[fka FTI Consulting Belgium SA]</w:t>
              <w:br/>
              <w:t>[fka Blueprint Partners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Canada Inc.</w:t>
              <w:br/>
              <w:t>[fka Watson, Edgar, Bishop, Meakin &amp; Aquirre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Columbia, Canada</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Canada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Columbia, Canada</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Capital Advisors (Singapore) Pte Ltd.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Singapore </w:t>
            </w:r>
          </w:p>
        </w:tc>
      </w:tr>
      <w:tr>
        <w:trPr/>
        <w:tc>
          <w:tcPr>
            <w:tcW w:w="5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FTI Consulting Corporate Services (Cayman) Limited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[fka FTI Consulting Directors (Cayman)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Denmark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Deutschland GmbH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Germany </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Deutschland Group Holdings GmbH</w:t>
              <w:br/>
              <w:t>[fka Blitz F19-527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Deutschland Holding GmbH</w:t>
              <w:br/>
              <w:t>[fka Maia Neunundzwanzigste Vermögensverwaltungs-GmbH]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Germany </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Doha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Qatar</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Finland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5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FTI Consulting for Business Services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[fka Delta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Saudi Arabia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2425"/>
                <wp:effectExtent l="0" t="0" r="0" b="0"/>
                <wp:wrapNone/>
                <wp:docPr id="93" name="Frame9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p>
                      <w:pPr>
                        <w:pStyle w:val="TextBody"/>
                        <w:bidi w:val="0"/>
                        <w:spacing w:before="0" w:after="0"/>
                        <w:jc w:val="left"/>
                        <w:rPr/>
                      </w:pPr>
                      <w:r>
                        <w:rPr/>
                      </w:r>
                    </w:p>
                  </w:txbxContent>
                </v:textbox>
                <w10:wrap type="none"/>
              </v:rect>
            </w:pict>
          </mc:Fallback>
        </mc:AlternateContent>
      </w:r>
    </w:p>
    <w:tbl>
      <w:tblPr>
        <w:tblW w:w="7226" w:type="dxa"/>
        <w:jc w:val="left"/>
        <w:tblInd w:w="0" w:type="dxa"/>
        <w:tblLayout w:type="fixed"/>
        <w:tblCellMar>
          <w:top w:w="28" w:type="dxa"/>
          <w:left w:w="28" w:type="dxa"/>
          <w:bottom w:w="28" w:type="dxa"/>
          <w:right w:w="28" w:type="dxa"/>
        </w:tblCellMar>
      </w:tblPr>
      <w:tblGrid>
        <w:gridCol w:w="1798"/>
        <w:gridCol w:w="1581"/>
        <w:gridCol w:w="1586"/>
        <w:gridCol w:w="109"/>
        <w:gridCol w:w="109"/>
        <w:gridCol w:w="109"/>
        <w:gridCol w:w="565"/>
        <w:gridCol w:w="565"/>
        <w:gridCol w:w="804"/>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Global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Global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Group (BVI)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Virgin Islands</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Group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District of Columbia</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Group Limited </w:t>
              <w:br/>
              <w:t>[fka Financial Dynamics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Gulf Limited </w:t>
              <w:br/>
              <w:t>[FD Gulf Limited]</w:t>
              <w:br/>
              <w:t>[fka FD Dubai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FTI Consulting Holdings (Netherlands) B.V.</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[fka Bold Capital Holding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Delaware </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India Private Limited </w:t>
              <w:br/>
              <w:t xml:space="preserve">[fka FD Communications India Private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India </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International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British Virgin Islands </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FTI Consulting Investment Management (Netherlands) B.V.</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[fka Bold Investment Management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Italy S.R. 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LLP</w:t>
              <w:br/>
              <w:t>[fka FTI Consulting Management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Management Limited</w:t>
              <w:br/>
              <w:t>[fka FTI Consulting Limited]</w:t>
              <w:br/>
              <w:t>[fka Carmill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Management Ltd</w:t>
              <w:br/>
              <w:t xml:space="preserve">[fka FTI Consulting (Asia) Limited] </w:t>
              <w:br/>
              <w:t>[fka Baker Tilly Hong Kong Business Recovery Ltd]</w:t>
              <w:br/>
              <w:t>[fka Baker Tilly Purserblade Asia Limited]</w:t>
              <w:br/>
              <w:t>[fka Purserblade Asia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Hong Kong </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Management Services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British Virgin Islands </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Management Solutions Limited</w:t>
              <w:br/>
              <w:t>[fka Distinct Intelligence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Ireland </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Media Center FZ-LLC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UAE</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Mexico, S.C.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[fka FTI Consulting Mexico S DE RL DE CV]</w:t>
              <w:br/>
              <w:t xml:space="preserve">[fka FDFTI Mexico S DE RL DE CV]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Pte Ltd.</w:t>
              <w:br/>
              <w:t>[fka International Risk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Realty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York </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Realty,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Regional Headquarter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Saudi Arabia</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S.A.S.</w:t>
              <w:br/>
              <w:t>[fka FTI Consulting (SC) Ltda.]</w:t>
              <w:br/>
              <w:t xml:space="preserve">[fka FD Gravitas Ltda.] </w:t>
              <w:br/>
              <w:t>[fka Gravitas Comunicaciones Estrategicos Limitada]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Colombia</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SC GmbH</w:t>
              <w:br/>
              <w:t>[fka Financial Dynamics GmbH]</w:t>
              <w:br/>
              <w:t>[fka A &amp; B Financial Dynamics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2425"/>
                <wp:effectExtent l="0" t="0" r="0" b="0"/>
                <wp:wrapNone/>
                <wp:docPr id="94" name="Frame9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p>
                      <w:pPr>
                        <w:pStyle w:val="TextBody"/>
                        <w:bidi w:val="0"/>
                        <w:spacing w:before="0" w:after="0"/>
                        <w:jc w:val="left"/>
                        <w:rPr/>
                      </w:pPr>
                      <w:r>
                        <w:rPr/>
                      </w:r>
                    </w:p>
                  </w:txbxContent>
                </v:textbox>
                <w10:wrap type="none"/>
              </v:rect>
            </w:pict>
          </mc:Fallback>
        </mc:AlternateContent>
      </w:r>
    </w:p>
    <w:tbl>
      <w:tblPr>
        <w:tblW w:w="7900" w:type="dxa"/>
        <w:jc w:val="left"/>
        <w:tblInd w:w="0" w:type="dxa"/>
        <w:tblLayout w:type="fixed"/>
        <w:tblCellMar>
          <w:top w:w="28" w:type="dxa"/>
          <w:left w:w="28" w:type="dxa"/>
          <w:bottom w:w="28" w:type="dxa"/>
          <w:right w:w="28" w:type="dxa"/>
        </w:tblCellMar>
      </w:tblPr>
      <w:tblGrid>
        <w:gridCol w:w="2041"/>
        <w:gridCol w:w="1797"/>
        <w:gridCol w:w="1801"/>
        <w:gridCol w:w="109"/>
        <w:gridCol w:w="109"/>
        <w:gridCol w:w="109"/>
        <w:gridCol w:w="563"/>
        <w:gridCol w:w="563"/>
        <w:gridCol w:w="808"/>
      </w:tblGrid>
      <w:tr>
        <w:trPr/>
        <w:tc>
          <w:tcPr>
            <w:tcW w:w="204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Services (Israel) Ltd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Solutions Limited</w:t>
              <w:br/>
              <w:t>[fka Brewer Consulting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South Africa (Pty) Ltd </w:t>
              <w:br/>
              <w:t>[fka FD Media and Investor Relations Pty Ltd]</w:t>
              <w:br/>
              <w:t>[fka Beachhead Media and Investor Relations (Proprietary)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Africa </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Spain, S.L.U.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Spain </w:t>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FTI Consulting Support Optimisation (Netherlands) B.V.</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[fka Bold Support Optimisation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Sweden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Switzerland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Technology (Sydney) Pty Ltd </w:t>
              <w:br/>
              <w:t>[fka FTI Ringtail (AUST) PTY LTD]</w:t>
              <w:br/>
              <w:t>[fka FTI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Technology LLC </w:t>
              <w:br/>
              <w:t>[fka FTI Technology LLC ]</w:t>
              <w:br/>
              <w:t>[fka FTI Repository Services,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Technology Software Corp </w:t>
              <w:br/>
              <w:t>[fka Attenex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Trade Advisory, LLC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[fka FTI Consulting Platt Sparks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Consulting UK1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UK2 Holdings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Consulting UK3 Holdings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FTI Consultoria Ltda.</w:t>
              <w:br/>
              <w:t>[fka FTI Holder Consultoria LTDA]</w:t>
              <w:br/>
              <w:t>[fka FTI Holder Consultoria S.A.]*</w:t>
              <w:br/>
              <w:t>[fka Arbok Holdings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Director Services Limited </w:t>
              <w:br/>
              <w:t>[fka FS Director Services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British Virgin Islands </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Director Services Number 2 Limited </w:t>
              <w:br/>
              <w:t>[fka FS Director Services Number 2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British Virgin Islands </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Director Services Number 3 Limited </w:t>
              <w:br/>
              <w:t xml:space="preserve">[fka FS Director Services Number 3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British Virgin Islands </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Financial Services Limited </w:t>
              <w:br/>
              <w:t>[fka Hoodwell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FTI France SAS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[fka FTI France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Paris, France</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Hosting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Maryland </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International LLC </w:t>
              <w:br/>
              <w:t>[fka FTI FD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Investigations,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FTI UK Holdings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England and Wales</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FTI-Andersch AG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6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FTI-Andersch Management GmbH</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[fka FTI-Andersch digital GmbH]</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[fka Andersch digital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IRL (Holdings) Limited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British Virgin Islands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2425"/>
                <wp:effectExtent l="0" t="0" r="0" b="0"/>
                <wp:wrapNone/>
                <wp:docPr id="95" name="Frame9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p>
                      <w:pPr>
                        <w:pStyle w:val="TextBody"/>
                        <w:bidi w:val="0"/>
                        <w:spacing w:before="0" w:after="0"/>
                        <w:jc w:val="left"/>
                        <w:rPr/>
                      </w:pPr>
                      <w:r>
                        <w:rPr/>
                      </w:r>
                    </w:p>
                  </w:txbxContent>
                </v:textbox>
                <w10:wrap type="none"/>
              </v:rect>
            </w:pict>
          </mc:Fallback>
        </mc:AlternateContent>
      </w:r>
    </w:p>
    <w:tbl>
      <w:tblPr>
        <w:tblW w:w="4330" w:type="dxa"/>
        <w:jc w:val="left"/>
        <w:tblInd w:w="0" w:type="dxa"/>
        <w:tblLayout w:type="fixed"/>
        <w:tblCellMar>
          <w:top w:w="28" w:type="dxa"/>
          <w:left w:w="28" w:type="dxa"/>
          <w:bottom w:w="28" w:type="dxa"/>
          <w:right w:w="28" w:type="dxa"/>
        </w:tblCellMar>
      </w:tblPr>
      <w:tblGrid>
        <w:gridCol w:w="928"/>
        <w:gridCol w:w="817"/>
        <w:gridCol w:w="819"/>
        <w:gridCol w:w="109"/>
        <w:gridCol w:w="109"/>
        <w:gridCol w:w="109"/>
        <w:gridCol w:w="421"/>
        <w:gridCol w:w="421"/>
        <w:gridCol w:w="597"/>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PT. FTI Consulting Indonesia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Sports Analytics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Lost City Estates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Panama</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Realisation GP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bl>
    <w:p>
      <w:pPr>
        <w:pStyle w:val="TextBody"/>
        <w:bidi w:val="0"/>
        <w:spacing w:before="0" w:after="160"/>
        <w:jc w:val="center"/>
        <w:rPr/>
      </w:pPr>
      <w:r>
        <w:rPr/>
      </w:r>
    </w:p>
    <w:p>
      <w:pPr>
        <w:pStyle w:val="TextBody"/>
        <w:bidi w:val="0"/>
        <w:spacing w:before="0" w:after="1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2425"/>
                <wp:effectExtent l="0" t="0" r="0" b="0"/>
                <wp:wrapNone/>
                <wp:docPr id="96" name="Frame9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0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0" w:after="40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(No. 333-218558, No. 333-238898, and No. 333-288926) on Form S-8 of our reports dated February 26, 2026, with respect to the consolidated financial statements of FTI Consulting, Inc. and the effectiveness of internal control over financial reporting.</w:t>
      </w:r>
    </w:p>
    <w:p>
      <w:pPr>
        <w:pStyle w:val="TextBody"/>
        <w:bidi w:val="0"/>
        <w:spacing w:before="0" w:after="120"/>
        <w:jc w:val="both"/>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McLean, Virginia </w:t>
        <w:br/>
        <w:t>February 26, 2026</w:t>
      </w:r>
    </w:p>
    <w:p>
      <w:pPr>
        <w:pStyle w:val="TextBody"/>
        <w:bidi w:val="0"/>
        <w:spacing w:before="0" w:after="120"/>
        <w:ind w:left="0" w:right="0" w:hanging="5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Pursuant to Rule 13a-14(a) and 15d-14(a)</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Steven H. Gunby,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FTI Consulting,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3702"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865"/>
        <w:gridCol w:w="865"/>
        <w:gridCol w:w="122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H. GUNBY</w:t>
            </w:r>
          </w:p>
        </w:tc>
      </w:tr>
      <w:tr>
        <w:trPr/>
        <w:tc>
          <w:tcPr>
            <w:tcW w:w="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Steven H. Gunby</w:t>
              <w:br/>
              <w:t>Chief Executive Officer and Chairman</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Pursuant to Rule 13a-14(a) and 15d-14(a)</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Paul Linton,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FTI Consulting,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p>
      <w:pPr>
        <w:pStyle w:val="TextBody"/>
        <w:bidi w:val="0"/>
        <w:spacing w:lineRule="auto" w:line="288" w:before="0" w:after="0"/>
        <w:jc w:val="left"/>
        <w:rPr>
          <w:color w:val="000000"/>
        </w:rPr>
      </w:pPr>
      <w:r>
        <w:rPr>
          <w:color w:val="000000"/>
        </w:rPr>
        <w:t> </w:t>
      </w:r>
    </w:p>
    <w:tbl>
      <w:tblPr>
        <w:tblW w:w="3162"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707"/>
        <w:gridCol w:w="707"/>
        <w:gridCol w:w="1001"/>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LINTON</w:t>
            </w:r>
          </w:p>
        </w:tc>
      </w:tr>
      <w:tr>
        <w:trPr/>
        <w:tc>
          <w:tcPr>
            <w:tcW w:w="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Paul Linton</w:t>
              <w:br/>
              <w:t>Interim 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FTI Consulting, Inc. (the “Company”) on Form 10-K for the year ended December 31, 2025, as filed with the Securities and Exchange Commission on the date hereof (the “Report”), I, Steven H. Gunby, Chief Executive Officer and Chairman (principal executive officer) of the Company, certify, pursuant to 18 U.S.C. Section 1350, as adopted pursuant to Section 906 of the Sarbanes-Oxley Act of 2002, that to the best of my knowledge: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p>
      <w:pPr>
        <w:pStyle w:val="TextBody"/>
        <w:bidi w:val="0"/>
        <w:spacing w:lineRule="auto" w:line="288" w:before="0" w:after="0"/>
        <w:jc w:val="left"/>
        <w:rPr>
          <w:color w:val="000000"/>
        </w:rPr>
      </w:pPr>
      <w:r>
        <w:rPr>
          <w:color w:val="000000"/>
        </w:rPr>
        <w:t> </w:t>
      </w:r>
    </w:p>
    <w:tbl>
      <w:tblPr>
        <w:tblW w:w="3702"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865"/>
        <w:gridCol w:w="865"/>
        <w:gridCol w:w="122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H. GUNBY</w:t>
            </w:r>
          </w:p>
        </w:tc>
      </w:tr>
      <w:tr>
        <w:trPr/>
        <w:tc>
          <w:tcPr>
            <w:tcW w:w="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Steven H. Gunby</w:t>
              <w:br/>
              <w:t>Chief Executive Officer and Chairman</w:t>
              <w:br/>
              <w:t>(principal executive officer)</w:t>
            </w:r>
          </w:p>
        </w:tc>
      </w:tr>
    </w:tbl>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FTI Consulting, Inc. (the “Company”) on Form 10-K for the year ended December 31, 2025, as filed with the Securities and Exchange Commission on the date hereof (the “Report”), I, Paul Linton, Interim Chief Financial Officer (principal financial officer) of the Company, certify, pursuant to 18 U.S.C. Section 1350, as adopted pursuant to Section 906 of the Sarbanes-Oxley Act of 2002, that to the best of my knowledge: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p>
      <w:pPr>
        <w:pStyle w:val="TextBody"/>
        <w:bidi w:val="0"/>
        <w:spacing w:lineRule="auto" w:line="288" w:before="0" w:after="0"/>
        <w:jc w:val="left"/>
        <w:rPr>
          <w:color w:val="000000"/>
        </w:rPr>
      </w:pPr>
      <w:r>
        <w:rPr>
          <w:color w:val="000000"/>
        </w:rPr>
        <w:t> </w:t>
      </w:r>
    </w:p>
    <w:tbl>
      <w:tblPr>
        <w:tblW w:w="3206"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720"/>
        <w:gridCol w:w="720"/>
        <w:gridCol w:w="101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LINTON</w:t>
            </w:r>
          </w:p>
        </w:tc>
      </w:tr>
      <w:tr>
        <w:trPr/>
        <w:tc>
          <w:tcPr>
            <w:tcW w:w="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Paul Linton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Interim Chief Financial Officer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financial officer)</w:t>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7936/000102140803008198/dex992.txt" TargetMode="External"/><Relationship Id="rId3" Type="http://schemas.openxmlformats.org/officeDocument/2006/relationships/hyperlink" Target="https://www.sec.gov/Archives/edgar/data/887936/000119312511157222/dex31.htm" TargetMode="External"/><Relationship Id="rId4" Type="http://schemas.openxmlformats.org/officeDocument/2006/relationships/hyperlink" Target="https://www.sec.gov/Archives/edgar/data/887936/000119312523043569/d465351dex31.htm" TargetMode="External"/><Relationship Id="rId5" Type="http://schemas.openxmlformats.org/officeDocument/2006/relationships/hyperlink" Target="https://www.sec.gov/Archives/edgar/data/887936/000088793620000017/fti-123119x10kex43xdes.htm" TargetMode="External"/><Relationship Id="rId6" Type="http://schemas.openxmlformats.org/officeDocument/2006/relationships/hyperlink" Target="https://www.sec.gov/Archives/edgar/data/887936/000119312522291069/d376744dex101.htm" TargetMode="External"/><Relationship Id="rId7" Type="http://schemas.openxmlformats.org/officeDocument/2006/relationships/hyperlink" Target="https://www.sec.gov/Archives/edgar/data/887936/000088793620000091/exhibit101_finalnewyorka.htm" TargetMode="External"/><Relationship Id="rId8" Type="http://schemas.openxmlformats.org/officeDocument/2006/relationships/hyperlink" Target="https://www.sec.gov/Archives/edgar/data/887936/000119312525300684/d934318dex101.htm" TargetMode="External"/><Relationship Id="rId9" Type="http://schemas.openxmlformats.org/officeDocument/2006/relationships/hyperlink" Target="https://www.sec.gov/Archives/edgar/data/887936/000120677406000967/fti_nps1.htm" TargetMode="External"/><Relationship Id="rId10" Type="http://schemas.openxmlformats.org/officeDocument/2006/relationships/hyperlink" Target="https://www.sec.gov/Archives/edgar/data/887936/000119312506125253/dex991.htm" TargetMode="External"/><Relationship Id="rId11" Type="http://schemas.openxmlformats.org/officeDocument/2006/relationships/hyperlink" Target="https://www.sec.gov/Archives/edgar/data/887936/000119312506125253/dex992.htm" TargetMode="External"/><Relationship Id="rId12" Type="http://schemas.openxmlformats.org/officeDocument/2006/relationships/hyperlink" Target="https://www.sec.gov/Archives/edgar/data/887936/000119312508105491/dex103.htm" TargetMode="External"/><Relationship Id="rId13" Type="http://schemas.openxmlformats.org/officeDocument/2006/relationships/hyperlink" Target="https://www.sec.gov/Archives/edgar/data/887936/000156459016013288/fcn-ex1070_1759.htm" TargetMode="External"/><Relationship Id="rId14" Type="http://schemas.openxmlformats.org/officeDocument/2006/relationships/hyperlink" Target="https://www.sec.gov/Archives/edgar/data/887936/000156459016013288/fcn-ex1071_1761.htm" TargetMode="External"/><Relationship Id="rId15" Type="http://schemas.openxmlformats.org/officeDocument/2006/relationships/hyperlink" Target="https://www.sec.gov/Archives/edgar/data/887936/000156459016013288/fcn-ex1072_1774.htm" TargetMode="External"/><Relationship Id="rId16" Type="http://schemas.openxmlformats.org/officeDocument/2006/relationships/hyperlink" Target="https://www.sec.gov/Archives/edgar/data/887936/000156459016013288/fcn-ex1073_1842.htm" TargetMode="External"/><Relationship Id="rId17" Type="http://schemas.openxmlformats.org/officeDocument/2006/relationships/hyperlink" Target="https://www.sec.gov/Archives/edgar/data/887936/000119312516547293/d118694ddef14a.htm" TargetMode="External"/><Relationship Id="rId18" Type="http://schemas.openxmlformats.org/officeDocument/2006/relationships/hyperlink" Target="https://www.sec.gov/Archives/edgar/data/887936/000119312515139162/d899383ddef14a.htm" TargetMode="External"/><Relationship Id="rId19" Type="http://schemas.openxmlformats.org/officeDocument/2006/relationships/hyperlink" Target="https://www.sec.gov/Archives/edgar/data/887936/000156459016013288/fcn-ex1063_1756.htm" TargetMode="External"/><Relationship Id="rId20" Type="http://schemas.openxmlformats.org/officeDocument/2006/relationships/hyperlink" Target="https://www.sec.gov/Archives/edgar/data/887936/000156459016013288/fcn-ex1064_1757.htm" TargetMode="External"/><Relationship Id="rId21" Type="http://schemas.openxmlformats.org/officeDocument/2006/relationships/hyperlink" Target="https://www.sec.gov/Archives/edgar/data/887936/000119312525135953/d18706dex101.htm" TargetMode="External"/><Relationship Id="rId22" Type="http://schemas.openxmlformats.org/officeDocument/2006/relationships/hyperlink" Target="https://www.sec.gov/Archives/edgar/data/887936/000156459017014177/fcn-ex102_127.htm" TargetMode="External"/><Relationship Id="rId23" Type="http://schemas.openxmlformats.org/officeDocument/2006/relationships/hyperlink" Target="https://www.sec.gov/Archives/edgar/data/887936/000156459017014177/fcn-ex103_128.htm" TargetMode="External"/><Relationship Id="rId24" Type="http://schemas.openxmlformats.org/officeDocument/2006/relationships/hyperlink" Target="https://www.sec.gov/Archives/edgar/data/887936/000156459017014177/fcn-ex104_129.htm" TargetMode="External"/><Relationship Id="rId25" Type="http://schemas.openxmlformats.org/officeDocument/2006/relationships/hyperlink" Target="https://www.sec.gov/Archives/edgar/data/887936/000156459017014177/fcn-ex105_131.htm" TargetMode="External"/><Relationship Id="rId26" Type="http://schemas.openxmlformats.org/officeDocument/2006/relationships/hyperlink" Target="https://www.sec.gov/Archives/edgar/data/887936/000156459017014177/fcn-ex106_123.htm" TargetMode="External"/><Relationship Id="rId27" Type="http://schemas.openxmlformats.org/officeDocument/2006/relationships/hyperlink" Target="https://www.sec.gov/Archives/edgar/data/887936/000156459017014177/fcn-ex107_125.htm" TargetMode="External"/><Relationship Id="rId28" Type="http://schemas.openxmlformats.org/officeDocument/2006/relationships/hyperlink" Target="https://www.sec.gov/Archives/edgar/data/887936/000156459017014177/fcn-ex108_124.htm" TargetMode="External"/><Relationship Id="rId29" Type="http://schemas.openxmlformats.org/officeDocument/2006/relationships/hyperlink" Target="https://www.sec.gov/Archives/edgar/data/887936/000156459017014177/fcn-ex109_126.htm" TargetMode="External"/><Relationship Id="rId30" Type="http://schemas.openxmlformats.org/officeDocument/2006/relationships/hyperlink" Target="https://www.sec.gov/Archives/edgar/data/887936/000156459017014177/fcn-ex1010_117.htm" TargetMode="External"/><Relationship Id="rId31" Type="http://schemas.openxmlformats.org/officeDocument/2006/relationships/hyperlink" Target="https://www.sec.gov/Archives/edgar/data/887936/000156459017014177/fcn-ex1011_118.htm" TargetMode="External"/><Relationship Id="rId32" Type="http://schemas.openxmlformats.org/officeDocument/2006/relationships/hyperlink" Target="https://www.sec.gov/Archives/edgar/data/887936/000156459017014177/fcn-ex1012_130.htm" TargetMode="External"/><Relationship Id="rId33" Type="http://schemas.openxmlformats.org/officeDocument/2006/relationships/hyperlink" Target="https://www.sec.gov/Archives/edgar/data/887936/000156459017014177/fcn-ex1013_120.htm" TargetMode="External"/><Relationship Id="rId34" Type="http://schemas.openxmlformats.org/officeDocument/2006/relationships/hyperlink" Target="https://www.sec.gov/Archives/edgar/data/887936/000156459017014177/fcn-ex1014_122.htm" TargetMode="External"/><Relationship Id="rId35" Type="http://schemas.openxmlformats.org/officeDocument/2006/relationships/hyperlink" Target="https://www.sec.gov/Archives/edgar/data/887936/000156459017014177/fcn-ex1015_121.htm" TargetMode="External"/><Relationship Id="rId36" Type="http://schemas.openxmlformats.org/officeDocument/2006/relationships/hyperlink" Target="https://www.sec.gov/Archives/edgar/data/887936/000156459017014177/fcn-ex1016_119.htm" TargetMode="External"/><Relationship Id="rId37" Type="http://schemas.openxmlformats.org/officeDocument/2006/relationships/hyperlink" Target="https://www.sec.gov/Archives/edgar/data/887936/000119312525312770/d70136dex101.htm" TargetMode="External"/><Relationship Id="rId38" Type="http://schemas.openxmlformats.org/officeDocument/2006/relationships/hyperlink" Target="https://www.sec.gov/Archives/edgar/data/887936/000119312514388321/d784590dex104.htm" TargetMode="External"/><Relationship Id="rId39" Type="http://schemas.openxmlformats.org/officeDocument/2006/relationships/hyperlink" Target="https://www.sec.gov/Archives/edgar/data/887936/000119312517093902/d258592dex103.htm" TargetMode="External"/><Relationship Id="rId40" Type="http://schemas.openxmlformats.org/officeDocument/2006/relationships/hyperlink" Target="https://www.sec.gov/Archives/edgar/data/887936/000119312519062574/d714572dex103.htm" TargetMode="External"/><Relationship Id="rId41" Type="http://schemas.openxmlformats.org/officeDocument/2006/relationships/hyperlink" Target="https://www.sec.gov/Archives/edgar/data/887936/000119312525312770/d70136dex102.htm" TargetMode="External"/><Relationship Id="rId42" Type="http://schemas.openxmlformats.org/officeDocument/2006/relationships/hyperlink" Target="https://www.sec.gov/Archives/edgar/data/887936/000119312515269318/d936962dex104.htm" TargetMode="External"/><Relationship Id="rId43" Type="http://schemas.openxmlformats.org/officeDocument/2006/relationships/hyperlink" Target="https://www.sec.gov/Archives/edgar/data/887936/000119312517093902/d258592dex104.htm" TargetMode="External"/><Relationship Id="rId44" Type="http://schemas.openxmlformats.org/officeDocument/2006/relationships/hyperlink" Target="https://www.sec.gov/Archives/edgar/data/887936/000119312519062574/d714572dex104.htm" TargetMode="External"/><Relationship Id="rId45" Type="http://schemas.openxmlformats.org/officeDocument/2006/relationships/hyperlink" Target="https://www.sec.gov/Archives/edgar/data/887936/000119312519067389/d695933dex101.htm" TargetMode="External"/><Relationship Id="rId46" Type="http://schemas.openxmlformats.org/officeDocument/2006/relationships/hyperlink" Target="https://www.sec.gov/ix?doc=/Archives/edgar/data/887936/000119312524227007/d853447d8k.htm" TargetMode="External"/><Relationship Id="rId47" Type="http://schemas.openxmlformats.org/officeDocument/2006/relationships/hyperlink" Target="https://www.sec.gov/Archives/edgar/data/887936/000088793623000074/fti33123-10qex191.htm" TargetMode="External"/><Relationship Id="rId48" Type="http://schemas.openxmlformats.org/officeDocument/2006/relationships/hyperlink" Target="https://www.sec.gov/Archives/edgar/data/887936/000088793624000015/fti-123123x10kex971.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50400</Words>
  <Characters>290338</Characters>
  <CharactersWithSpaces>338163</CharactersWithSpaces>
  <Paragraphs>4924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