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85725</wp:posOffset>
            </wp:positionV>
            <wp:extent cx="2228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113665</wp:posOffset>
            </wp:positionV>
            <wp:extent cx="2228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90"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34"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3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001-14875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83185</wp:posOffset>
            </wp:positionV>
            <wp:extent cx="2228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340"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40"/>
          <w:szCs w:val="40"/>
          <w:b w:val="1"/>
          <w:bCs w:val="1"/>
          <w:color w:val="auto"/>
        </w:rPr>
        <w:t>FTI CONSULTING, INC.</w:t>
      </w:r>
    </w:p>
    <w:p>
      <w:pPr>
        <w:spacing w:after="0" w:line="5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236220</wp:posOffset>
            </wp:positionV>
            <wp:extent cx="2228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300" w:type="dxa"/>
            <w:vAlign w:val="bottom"/>
          </w:tcPr>
          <w:p>
            <w:pPr>
              <w:spacing w:after="0"/>
              <w:rPr>
                <w:sz w:val="19"/>
                <w:szCs w:val="19"/>
                <w:color w:val="auto"/>
              </w:rPr>
            </w:pPr>
          </w:p>
        </w:tc>
        <w:tc>
          <w:tcPr>
            <w:tcW w:w="4260" w:type="dxa"/>
            <w:vAlign w:val="bottom"/>
            <w:gridSpan w:val="3"/>
          </w:tcPr>
          <w:p>
            <w:pPr>
              <w:jc w:val="center"/>
              <w:ind w:left="478"/>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580" w:type="dxa"/>
            <w:vAlign w:val="bottom"/>
          </w:tcPr>
          <w:p>
            <w:pPr>
              <w:jc w:val="right"/>
              <w:ind w:right="2180"/>
              <w:spacing w:after="0"/>
              <w:rPr>
                <w:sz w:val="20"/>
                <w:szCs w:val="20"/>
                <w:color w:val="auto"/>
              </w:rPr>
            </w:pPr>
            <w:r>
              <w:rPr>
                <w:rFonts w:ascii="Times New Roman" w:cs="Times New Roman" w:eastAsia="Times New Roman" w:hAnsi="Times New Roman"/>
                <w:sz w:val="18"/>
                <w:szCs w:val="18"/>
                <w:b w:val="1"/>
                <w:bCs w:val="1"/>
                <w:color w:val="auto"/>
              </w:rPr>
              <w:t>52-1261113</w:t>
            </w:r>
          </w:p>
        </w:tc>
      </w:tr>
      <w:tr>
        <w:trPr>
          <w:trHeight w:val="146"/>
        </w:trPr>
        <w:tc>
          <w:tcPr>
            <w:tcW w:w="300" w:type="dxa"/>
            <w:vAlign w:val="bottom"/>
          </w:tcPr>
          <w:p>
            <w:pPr>
              <w:spacing w:after="0"/>
              <w:rPr>
                <w:sz w:val="12"/>
                <w:szCs w:val="12"/>
                <w:color w:val="auto"/>
              </w:rPr>
            </w:pPr>
          </w:p>
        </w:tc>
        <w:tc>
          <w:tcPr>
            <w:tcW w:w="4260" w:type="dxa"/>
            <w:vAlign w:val="bottom"/>
            <w:gridSpan w:val="3"/>
          </w:tcPr>
          <w:p>
            <w:pPr>
              <w:jc w:val="center"/>
              <w:ind w:left="478"/>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580" w:type="dxa"/>
            <w:vAlign w:val="bottom"/>
          </w:tcPr>
          <w:p>
            <w:pPr>
              <w:jc w:val="center"/>
              <w:ind w:right="1720"/>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00" w:type="dxa"/>
            <w:vAlign w:val="bottom"/>
          </w:tcPr>
          <w:p>
            <w:pPr>
              <w:spacing w:after="0"/>
              <w:rPr>
                <w:sz w:val="16"/>
                <w:szCs w:val="16"/>
                <w:color w:val="auto"/>
              </w:rPr>
            </w:pPr>
          </w:p>
        </w:tc>
        <w:tc>
          <w:tcPr>
            <w:tcW w:w="4260" w:type="dxa"/>
            <w:vAlign w:val="bottom"/>
            <w:gridSpan w:val="3"/>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580" w:type="dxa"/>
            <w:vAlign w:val="bottom"/>
          </w:tcPr>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41"/>
        </w:trPr>
        <w:tc>
          <w:tcPr>
            <w:tcW w:w="300" w:type="dxa"/>
            <w:vAlign w:val="bottom"/>
          </w:tcPr>
          <w:p>
            <w:pPr>
              <w:spacing w:after="0"/>
              <w:rPr>
                <w:sz w:val="24"/>
                <w:szCs w:val="24"/>
                <w:color w:val="auto"/>
              </w:rPr>
            </w:pPr>
          </w:p>
        </w:tc>
        <w:tc>
          <w:tcPr>
            <w:tcW w:w="4260" w:type="dxa"/>
            <w:vAlign w:val="bottom"/>
            <w:gridSpan w:val="3"/>
          </w:tcPr>
          <w:p>
            <w:pPr>
              <w:jc w:val="center"/>
              <w:ind w:left="478"/>
              <w:spacing w:after="0"/>
              <w:rPr>
                <w:sz w:val="20"/>
                <w:szCs w:val="20"/>
                <w:color w:val="auto"/>
              </w:rPr>
            </w:pPr>
            <w:r>
              <w:rPr>
                <w:rFonts w:ascii="Times New Roman" w:cs="Times New Roman" w:eastAsia="Times New Roman" w:hAnsi="Times New Roman"/>
                <w:sz w:val="18"/>
                <w:szCs w:val="18"/>
                <w:b w:val="1"/>
                <w:bCs w:val="1"/>
                <w:color w:val="auto"/>
                <w:w w:val="98"/>
              </w:rPr>
              <w:t>555 12th Street NW</w:t>
            </w: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29"/>
        </w:trPr>
        <w:tc>
          <w:tcPr>
            <w:tcW w:w="300" w:type="dxa"/>
            <w:vAlign w:val="bottom"/>
          </w:tcPr>
          <w:p>
            <w:pPr>
              <w:spacing w:after="0"/>
              <w:rPr>
                <w:sz w:val="19"/>
                <w:szCs w:val="19"/>
                <w:color w:val="auto"/>
              </w:rPr>
            </w:pPr>
          </w:p>
        </w:tc>
        <w:tc>
          <w:tcPr>
            <w:tcW w:w="4260" w:type="dxa"/>
            <w:vAlign w:val="bottom"/>
            <w:gridSpan w:val="3"/>
          </w:tcPr>
          <w:p>
            <w:pPr>
              <w:jc w:val="center"/>
              <w:ind w:left="478"/>
              <w:spacing w:after="0"/>
              <w:rPr>
                <w:sz w:val="20"/>
                <w:szCs w:val="20"/>
                <w:color w:val="auto"/>
              </w:rPr>
            </w:pPr>
            <w:r>
              <w:rPr>
                <w:rFonts w:ascii="Times New Roman" w:cs="Times New Roman" w:eastAsia="Times New Roman" w:hAnsi="Times New Roman"/>
                <w:sz w:val="18"/>
                <w:szCs w:val="18"/>
                <w:b w:val="1"/>
                <w:bCs w:val="1"/>
                <w:color w:val="auto"/>
              </w:rPr>
              <w:t>Washington,</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227"/>
        </w:trPr>
        <w:tc>
          <w:tcPr>
            <w:tcW w:w="300" w:type="dxa"/>
            <w:vAlign w:val="bottom"/>
          </w:tcPr>
          <w:p>
            <w:pPr>
              <w:spacing w:after="0"/>
              <w:rPr>
                <w:sz w:val="19"/>
                <w:szCs w:val="19"/>
                <w:color w:val="auto"/>
              </w:rPr>
            </w:pPr>
          </w:p>
        </w:tc>
        <w:tc>
          <w:tcPr>
            <w:tcW w:w="4260" w:type="dxa"/>
            <w:vAlign w:val="bottom"/>
            <w:gridSpan w:val="3"/>
          </w:tcPr>
          <w:p>
            <w:pPr>
              <w:jc w:val="center"/>
              <w:ind w:left="478"/>
              <w:spacing w:after="0"/>
              <w:rPr>
                <w:sz w:val="20"/>
                <w:szCs w:val="20"/>
                <w:color w:val="auto"/>
              </w:rPr>
            </w:pPr>
            <w:r>
              <w:rPr>
                <w:rFonts w:ascii="Times New Roman" w:cs="Times New Roman" w:eastAsia="Times New Roman" w:hAnsi="Times New Roman"/>
                <w:sz w:val="18"/>
                <w:szCs w:val="18"/>
                <w:b w:val="1"/>
                <w:bCs w:val="1"/>
                <w:color w:val="auto"/>
                <w:w w:val="99"/>
              </w:rPr>
              <w:t>DC</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580" w:type="dxa"/>
            <w:vAlign w:val="bottom"/>
          </w:tcPr>
          <w:p>
            <w:pPr>
              <w:jc w:val="right"/>
              <w:ind w:right="2380"/>
              <w:spacing w:after="0"/>
              <w:rPr>
                <w:sz w:val="20"/>
                <w:szCs w:val="20"/>
                <w:color w:val="auto"/>
              </w:rPr>
            </w:pPr>
            <w:r>
              <w:rPr>
                <w:rFonts w:ascii="Times New Roman" w:cs="Times New Roman" w:eastAsia="Times New Roman" w:hAnsi="Times New Roman"/>
                <w:sz w:val="18"/>
                <w:szCs w:val="18"/>
                <w:b w:val="1"/>
                <w:bCs w:val="1"/>
                <w:color w:val="auto"/>
              </w:rPr>
              <w:t>20004</w:t>
            </w:r>
          </w:p>
        </w:tc>
      </w:tr>
      <w:tr>
        <w:trPr>
          <w:trHeight w:val="190"/>
        </w:trPr>
        <w:tc>
          <w:tcPr>
            <w:tcW w:w="300" w:type="dxa"/>
            <w:vAlign w:val="bottom"/>
          </w:tcPr>
          <w:p>
            <w:pPr>
              <w:spacing w:after="0"/>
              <w:rPr>
                <w:sz w:val="16"/>
                <w:szCs w:val="16"/>
                <w:color w:val="auto"/>
              </w:rPr>
            </w:pPr>
          </w:p>
        </w:tc>
        <w:tc>
          <w:tcPr>
            <w:tcW w:w="4260" w:type="dxa"/>
            <w:vAlign w:val="bottom"/>
            <w:gridSpan w:val="3"/>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580" w:type="dxa"/>
            <w:vAlign w:val="bottom"/>
          </w:tcPr>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32"/>
        </w:trPr>
        <w:tc>
          <w:tcPr>
            <w:tcW w:w="3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 312-9100</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25"/>
        </w:trPr>
        <w:tc>
          <w:tcPr>
            <w:tcW w:w="300" w:type="dxa"/>
            <w:vAlign w:val="bottom"/>
          </w:tcPr>
          <w:p>
            <w:pPr>
              <w:spacing w:after="0"/>
              <w:rPr>
                <w:sz w:val="19"/>
                <w:szCs w:val="19"/>
                <w:color w:val="auto"/>
              </w:rPr>
            </w:pPr>
          </w:p>
        </w:tc>
        <w:tc>
          <w:tcPr>
            <w:tcW w:w="1066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r>
      <w:tr>
        <w:trPr>
          <w:trHeight w:val="331"/>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700" w:type="dxa"/>
            <w:vAlign w:val="bottom"/>
            <w:tcBorders>
              <w:top w:val="single" w:sz="8" w:color="auto"/>
            </w:tcBorders>
            <w:gridSpan w:val="2"/>
          </w:tcPr>
          <w:p>
            <w:pPr>
              <w:spacing w:after="0"/>
              <w:rPr>
                <w:sz w:val="24"/>
                <w:szCs w:val="24"/>
                <w:color w:val="auto"/>
              </w:rPr>
            </w:pPr>
          </w:p>
        </w:tc>
        <w:tc>
          <w:tcPr>
            <w:tcW w:w="2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580" w:type="dxa"/>
            <w:vAlign w:val="bottom"/>
          </w:tcPr>
          <w:p>
            <w:pPr>
              <w:spacing w:after="0"/>
              <w:rPr>
                <w:sz w:val="24"/>
                <w:szCs w:val="24"/>
                <w:color w:val="auto"/>
              </w:rPr>
            </w:pPr>
          </w:p>
        </w:tc>
      </w:tr>
      <w:tr>
        <w:trPr>
          <w:trHeight w:val="327"/>
        </w:trPr>
        <w:tc>
          <w:tcPr>
            <w:tcW w:w="300" w:type="dxa"/>
            <w:vAlign w:val="bottom"/>
          </w:tcPr>
          <w:p>
            <w:pPr>
              <w:spacing w:after="0"/>
              <w:rPr>
                <w:sz w:val="24"/>
                <w:szCs w:val="24"/>
                <w:color w:val="auto"/>
              </w:rPr>
            </w:pPr>
          </w:p>
        </w:tc>
        <w:tc>
          <w:tcPr>
            <w:tcW w:w="42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820" w:type="dxa"/>
            <w:vAlign w:val="bottom"/>
            <w:gridSpan w:val="3"/>
          </w:tcPr>
          <w:p>
            <w:pPr>
              <w:jc w:val="center"/>
              <w:ind w:right="70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580" w:type="dxa"/>
            <w:vAlign w:val="bottom"/>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9"/>
        </w:trPr>
        <w:tc>
          <w:tcPr>
            <w:tcW w:w="300" w:type="dxa"/>
            <w:vAlign w:val="bottom"/>
          </w:tcPr>
          <w:p>
            <w:pPr>
              <w:spacing w:after="0"/>
              <w:rPr>
                <w:sz w:val="18"/>
                <w:szCs w:val="18"/>
                <w:color w:val="auto"/>
              </w:rPr>
            </w:pPr>
          </w:p>
        </w:tc>
        <w:tc>
          <w:tcPr>
            <w:tcW w:w="406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Common Stock, $0.01 par value</w:t>
            </w:r>
          </w:p>
        </w:tc>
        <w:tc>
          <w:tcPr>
            <w:tcW w:w="200" w:type="dxa"/>
            <w:vAlign w:val="bottom"/>
          </w:tcPr>
          <w:p>
            <w:pPr>
              <w:spacing w:after="0"/>
              <w:rPr>
                <w:sz w:val="18"/>
                <w:szCs w:val="18"/>
                <w:color w:val="auto"/>
              </w:rPr>
            </w:pPr>
          </w:p>
        </w:tc>
        <w:tc>
          <w:tcPr>
            <w:tcW w:w="2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FCN</w:t>
            </w:r>
          </w:p>
        </w:tc>
        <w:tc>
          <w:tcPr>
            <w:tcW w:w="2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580" w:type="dxa"/>
            <w:vAlign w:val="bottom"/>
            <w:tcBorders>
              <w:top w:val="single" w:sz="8" w:color="auto"/>
            </w:tcBorders>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71" w:lineRule="exact"/>
        <w:rPr>
          <w:sz w:val="24"/>
          <w:szCs w:val="24"/>
          <w:color w:val="auto"/>
        </w:rPr>
      </w:pPr>
    </w:p>
    <w:p>
      <w:pPr>
        <w:ind w:right="200" w:firstLine="486"/>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84" w:lineRule="exact"/>
        <w:tabs>
          <w:tab w:leader="none" w:pos="680" w:val="left"/>
          <w:tab w:leader="none" w:pos="1320" w:val="left"/>
        </w:tabs>
        <w:rPr>
          <w:sz w:val="20"/>
          <w:szCs w:val="20"/>
          <w:color w:val="auto"/>
        </w:rPr>
      </w:pPr>
      <w:r>
        <w:rPr>
          <w:rFonts w:ascii="Times New Roman" w:cs="Times New Roman" w:eastAsia="Times New Roman" w:hAnsi="Times New Roman"/>
          <w:sz w:val="16"/>
          <w:szCs w:val="16"/>
          <w:color w:val="auto"/>
        </w:rPr>
        <w:t>90 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47" w:lineRule="exact"/>
        <w:rPr>
          <w:sz w:val="24"/>
          <w:szCs w:val="24"/>
          <w:color w:val="auto"/>
        </w:rPr>
      </w:pPr>
    </w:p>
    <w:p>
      <w:pPr>
        <w:ind w:right="20" w:firstLine="486"/>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jc w:val="both"/>
        <w:ind w:right="260" w:firstLine="486"/>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50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464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Accelerated filer</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0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464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8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464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Emerging growth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4"/>
          <w:szCs w:val="24"/>
          <w:color w:val="auto"/>
        </w:rPr>
      </w:pPr>
    </w:p>
    <w:p>
      <w:pPr>
        <w:ind w:right="100" w:firstLine="486"/>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500" w:right="2180"/>
        <w:spacing w:after="0" w:line="21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the number of shares outstanding of each of the issuer’s classes of common stock, as of the latest practicable date.</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860" w:type="dxa"/>
            <w:vAlign w:val="bottom"/>
          </w:tcPr>
          <w:p>
            <w:pPr>
              <w:spacing w:after="0"/>
              <w:rPr>
                <w:sz w:val="16"/>
                <w:szCs w:val="16"/>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Class</w:t>
            </w:r>
          </w:p>
        </w:tc>
        <w:tc>
          <w:tcPr>
            <w:tcW w:w="2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80" w:type="dxa"/>
            <w:vAlign w:val="bottom"/>
            <w:gridSpan w:val="2"/>
          </w:tcPr>
          <w:p>
            <w:pPr>
              <w:jc w:val="center"/>
              <w:ind w:right="2020"/>
              <w:spacing w:after="0"/>
              <w:rPr>
                <w:sz w:val="20"/>
                <w:szCs w:val="20"/>
                <w:color w:val="auto"/>
              </w:rPr>
            </w:pPr>
            <w:r>
              <w:rPr>
                <w:rFonts w:ascii="Times New Roman" w:cs="Times New Roman" w:eastAsia="Times New Roman" w:hAnsi="Times New Roman"/>
                <w:sz w:val="16"/>
                <w:szCs w:val="16"/>
                <w:b w:val="1"/>
                <w:bCs w:val="1"/>
                <w:color w:val="auto"/>
              </w:rPr>
              <w:t>Outstanding at April 23, 2026</w:t>
            </w:r>
          </w:p>
        </w:tc>
      </w:tr>
      <w:tr>
        <w:trPr>
          <w:trHeight w:val="20"/>
        </w:trPr>
        <w:tc>
          <w:tcPr>
            <w:tcW w:w="28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30"/>
        </w:trPr>
        <w:tc>
          <w:tcPr>
            <w:tcW w:w="5640" w:type="dxa"/>
            <w:vAlign w:val="bottom"/>
            <w:gridSpan w:val="3"/>
          </w:tcPr>
          <w:p>
            <w:pPr>
              <w:jc w:val="center"/>
              <w:ind w:left="379"/>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358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color w:val="auto"/>
              </w:rPr>
              <w:t>30,144,043</w:t>
            </w:r>
          </w:p>
        </w:tc>
        <w:tc>
          <w:tcPr>
            <w:tcW w:w="2020" w:type="dxa"/>
            <w:vAlign w:val="bottom"/>
          </w:tcPr>
          <w:p>
            <w:pPr>
              <w:spacing w:after="0"/>
              <w:rPr>
                <w:sz w:val="20"/>
                <w:szCs w:val="20"/>
                <w:color w:val="auto"/>
              </w:rPr>
            </w:pPr>
          </w:p>
        </w:tc>
      </w:tr>
      <w:tr>
        <w:trPr>
          <w:trHeight w:val="155"/>
        </w:trPr>
        <w:tc>
          <w:tcPr>
            <w:tcW w:w="28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r>
      <w:tr>
        <w:trPr>
          <w:trHeight w:val="20"/>
        </w:trPr>
        <w:tc>
          <w:tcPr>
            <w:tcW w:w="2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608"/>
        </w:trPr>
        <w:tc>
          <w:tcPr>
            <w:tcW w:w="2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21" w:right="339" w:bottom="1440" w:gutter="0" w:footer="0" w:header="0"/>
        </w:sectPr>
      </w:pPr>
    </w:p>
    <w:bookmarkStart w:id="1" w:name="page2"/>
    <w:bookmarkEnd w:id="1"/>
    <w:p>
      <w:pPr>
        <w:jc w:val="center"/>
        <w:ind w:left="1320"/>
        <w:spacing w:after="0"/>
        <w:rPr>
          <w:sz w:val="20"/>
          <w:szCs w:val="20"/>
          <w:color w:val="auto"/>
        </w:rPr>
      </w:pPr>
      <w:r>
        <w:rPr>
          <w:rFonts w:ascii="Times New Roman" w:cs="Times New Roman" w:eastAsia="Times New Roman" w:hAnsi="Times New Roman"/>
          <w:sz w:val="18"/>
          <w:szCs w:val="18"/>
          <w:b w:val="1"/>
          <w:bCs w:val="1"/>
          <w:color w:val="auto"/>
        </w:rPr>
        <w:t>FTI CONSULTING, INC. AND SUBSIDIARIES</w:t>
      </w:r>
    </w:p>
    <w:p>
      <w:pPr>
        <w:spacing w:after="0" w:line="117"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I—FINANCIAL INFORMATION</w:t>
      </w:r>
    </w:p>
    <w:p>
      <w:pPr>
        <w:spacing w:after="0" w:line="189"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7"/>
          <w:szCs w:val="17"/>
          <w:u w:val="single" w:color="auto"/>
          <w:color w:val="0000FF"/>
        </w:rPr>
        <w:t>Financial Statements</w:t>
      </w:r>
    </w:p>
    <w:p>
      <w:pPr>
        <w:spacing w:after="0" w:line="18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u w:val="single" w:color="auto"/>
          <w:color w:val="0000FF"/>
        </w:rPr>
        <w:t>Condensed Consolidated Balance Sheets—March 31, 2026 and December 31, 2025</w:t>
      </w:r>
    </w:p>
    <w:p>
      <w:pPr>
        <w:spacing w:after="0" w:line="198"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Comprehensive Income—Three Months Ended March 31, 2026 and 2025</w:t>
      </w:r>
    </w:p>
    <w:p>
      <w:pPr>
        <w:spacing w:after="0" w:line="29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Stockholders’ Equity—Three Months Ended March 31, 2026 and 2025</w:t>
      </w:r>
    </w:p>
    <w:p>
      <w:pPr>
        <w:spacing w:after="0" w:line="279" w:lineRule="exact"/>
        <w:rPr>
          <w:sz w:val="20"/>
          <w:szCs w:val="20"/>
          <w:color w:val="auto"/>
        </w:rPr>
      </w:pPr>
    </w:p>
    <w:p>
      <w:pPr>
        <w:ind w:left="1060" w:right="1580"/>
        <w:spacing w:after="0" w:line="453"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Cash Flows—Three Months Ended March 31, 2026 and 2025 Notes to Condensed Consolidated Financial Statements</w:t>
      </w:r>
    </w:p>
    <w:p>
      <w:pPr>
        <w:spacing w:after="0" w:line="2"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u w:val="single" w:color="auto"/>
          <w:color w:val="0000FF"/>
        </w:rPr>
        <w:t>Management’s Discussion and Analysis of Financial Condition and Results of Operations</w:t>
      </w:r>
    </w:p>
    <w:p>
      <w:pPr>
        <w:spacing w:after="0" w:line="185"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u w:val="single" w:color="auto"/>
          <w:color w:val="0000FF"/>
        </w:rPr>
        <w:t>Quantitative and Qualitative Disclosures About Market Risk</w:t>
      </w:r>
    </w:p>
    <w:p>
      <w:pPr>
        <w:spacing w:after="0" w:line="185"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u w:val="single" w:color="auto"/>
          <w:color w:val="0000FF"/>
        </w:rPr>
        <w:t>Controls and Procedures</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II—OTHER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0" w:lineRule="exact"/>
        <w:rPr>
          <w:sz w:val="20"/>
          <w:szCs w:val="20"/>
          <w:color w:val="auto"/>
        </w:rPr>
      </w:pPr>
    </w:p>
    <w:p>
      <w:pPr>
        <w:spacing w:after="0" w:line="21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w:t>
      </w:r>
    </w:p>
    <w:p>
      <w:pPr>
        <w:spacing w:after="0" w:line="18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w:t>
      </w:r>
    </w:p>
    <w:p>
      <w:pPr>
        <w:spacing w:after="0" w:line="29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w:t>
      </w:r>
    </w:p>
    <w:p>
      <w:pPr>
        <w:spacing w:after="0" w:line="29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w:t>
      </w:r>
    </w:p>
    <w:p>
      <w:pPr>
        <w:spacing w:after="0" w:line="18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w:t>
      </w:r>
    </w:p>
    <w:p>
      <w:pPr>
        <w:spacing w:after="0" w:line="18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7</w:t>
      </w:r>
    </w:p>
    <w:p>
      <w:pPr>
        <w:spacing w:after="0" w:line="18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16</w:t>
      </w:r>
    </w:p>
    <w:p>
      <w:pPr>
        <w:spacing w:after="0" w:line="18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36</w:t>
      </w:r>
    </w:p>
    <w:p>
      <w:pPr>
        <w:spacing w:after="0" w:line="18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36</w:t>
      </w:r>
    </w:p>
    <w:p>
      <w:pPr>
        <w:spacing w:after="0" w:line="562" w:lineRule="exact"/>
        <w:rPr>
          <w:sz w:val="20"/>
          <w:szCs w:val="20"/>
          <w:color w:val="auto"/>
        </w:rPr>
      </w:pPr>
    </w:p>
    <w:p>
      <w:pPr>
        <w:sectPr>
          <w:pgSz w:w="11900" w:h="16838" w:orient="portrait"/>
          <w:cols w:equalWidth="0" w:num="2">
            <w:col w:w="9940" w:space="720"/>
            <w:col w:w="580"/>
          </w:cols>
          <w:pgMar w:left="320" w:top="887"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44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71"/>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4"/>
                <w:szCs w:val="24"/>
                <w:color w:val="auto"/>
              </w:rPr>
            </w:pPr>
          </w:p>
        </w:tc>
        <w:tc>
          <w:tcPr>
            <w:tcW w:w="3100" w:type="dxa"/>
            <w:vAlign w:val="bottom"/>
            <w:gridSpan w:val="4"/>
          </w:tcPr>
          <w:p>
            <w:pPr>
              <w:spacing w:after="0"/>
              <w:rPr>
                <w:sz w:val="24"/>
                <w:szCs w:val="24"/>
                <w:color w:val="auto"/>
              </w:rPr>
            </w:pP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72"/>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80" w:type="dxa"/>
            <w:vAlign w:val="bottom"/>
          </w:tcPr>
          <w:p>
            <w:pPr>
              <w:spacing w:after="0"/>
              <w:rPr>
                <w:sz w:val="24"/>
                <w:szCs w:val="24"/>
                <w:color w:val="auto"/>
              </w:rPr>
            </w:pP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71"/>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100" w:type="dxa"/>
            <w:vAlign w:val="bottom"/>
            <w:gridSpan w:val="2"/>
          </w:tcPr>
          <w:p>
            <w:pPr>
              <w:spacing w:after="0"/>
              <w:rPr>
                <w:sz w:val="24"/>
                <w:szCs w:val="24"/>
                <w:color w:val="auto"/>
              </w:rPr>
            </w:pP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72"/>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4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71"/>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2660" w:type="dxa"/>
            <w:vAlign w:val="bottom"/>
            <w:gridSpan w:val="3"/>
          </w:tcPr>
          <w:p>
            <w:pPr>
              <w:spacing w:after="0"/>
              <w:rPr>
                <w:sz w:val="24"/>
                <w:szCs w:val="24"/>
                <w:color w:val="auto"/>
              </w:rPr>
            </w:pP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72"/>
        </w:trPr>
        <w:tc>
          <w:tcPr>
            <w:tcW w:w="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2"/>
          </w:tcPr>
          <w:p>
            <w:pPr>
              <w:spacing w:after="0"/>
              <w:rPr>
                <w:sz w:val="24"/>
                <w:szCs w:val="24"/>
                <w:color w:val="auto"/>
              </w:rPr>
            </w:pPr>
          </w:p>
        </w:tc>
        <w:tc>
          <w:tcPr>
            <w:tcW w:w="3120" w:type="dxa"/>
            <w:vAlign w:val="bottom"/>
            <w:gridSpan w:val="5"/>
          </w:tcPr>
          <w:p>
            <w:pPr>
              <w:spacing w:after="0"/>
              <w:rPr>
                <w:sz w:val="24"/>
                <w:szCs w:val="24"/>
                <w:color w:val="auto"/>
              </w:rPr>
            </w:pP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71"/>
        </w:trPr>
        <w:tc>
          <w:tcPr>
            <w:tcW w:w="20" w:type="dxa"/>
            <w:vAlign w:val="bottom"/>
          </w:tcPr>
          <w:p>
            <w:pPr>
              <w:spacing w:after="0"/>
              <w:rPr>
                <w:sz w:val="24"/>
                <w:szCs w:val="24"/>
                <w:color w:val="auto"/>
              </w:rPr>
            </w:pPr>
          </w:p>
        </w:tc>
        <w:tc>
          <w:tcPr>
            <w:tcW w:w="54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871"/>
        </w:trPr>
        <w:tc>
          <w:tcPr>
            <w:tcW w:w="20" w:type="dxa"/>
            <w:vAlign w:val="bottom"/>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60" w:type="dxa"/>
            <w:vAlign w:val="bottom"/>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r>
        <w:trPr>
          <w:trHeight w:val="115"/>
        </w:trPr>
        <w:tc>
          <w:tcPr>
            <w:tcW w:w="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770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PART I—FINANCIAL INFORMATION</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24"/>
        </w:trPr>
        <w:tc>
          <w:tcPr>
            <w:tcW w:w="620" w:type="dxa"/>
            <w:vAlign w:val="bottom"/>
          </w:tcPr>
          <w:p>
            <w:pPr>
              <w:spacing w:after="0"/>
              <w:rPr>
                <w:sz w:val="24"/>
                <w:szCs w:val="24"/>
                <w:color w:val="auto"/>
              </w:rPr>
            </w:pPr>
          </w:p>
        </w:tc>
        <w:tc>
          <w:tcPr>
            <w:tcW w:w="770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FTI Consulting, Inc. and Subsidiaries</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06"/>
        </w:trPr>
        <w:tc>
          <w:tcPr>
            <w:tcW w:w="620" w:type="dxa"/>
            <w:vAlign w:val="bottom"/>
          </w:tcPr>
          <w:p>
            <w:pPr>
              <w:spacing w:after="0"/>
              <w:rPr>
                <w:sz w:val="24"/>
                <w:szCs w:val="24"/>
                <w:color w:val="auto"/>
              </w:rPr>
            </w:pPr>
          </w:p>
        </w:tc>
        <w:tc>
          <w:tcPr>
            <w:tcW w:w="7700" w:type="dxa"/>
            <w:vAlign w:val="bottom"/>
          </w:tcPr>
          <w:p>
            <w:pPr>
              <w:jc w:val="center"/>
              <w:ind w:left="223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4"/>
        </w:trPr>
        <w:tc>
          <w:tcPr>
            <w:tcW w:w="620" w:type="dxa"/>
            <w:vAlign w:val="bottom"/>
          </w:tcPr>
          <w:p>
            <w:pPr>
              <w:spacing w:after="0"/>
              <w:rPr>
                <w:sz w:val="20"/>
                <w:szCs w:val="20"/>
                <w:color w:val="auto"/>
              </w:rPr>
            </w:pPr>
          </w:p>
        </w:tc>
        <w:tc>
          <w:tcPr>
            <w:tcW w:w="7700" w:type="dxa"/>
            <w:vAlign w:val="bottom"/>
          </w:tcPr>
          <w:p>
            <w:pPr>
              <w:jc w:val="center"/>
              <w:ind w:left="2230"/>
              <w:spacing w:after="0"/>
              <w:rPr>
                <w:sz w:val="20"/>
                <w:szCs w:val="20"/>
                <w:color w:val="auto"/>
              </w:rPr>
            </w:pPr>
            <w:r>
              <w:rPr>
                <w:rFonts w:ascii="Times New Roman" w:cs="Times New Roman" w:eastAsia="Times New Roman" w:hAnsi="Times New Roman"/>
                <w:sz w:val="18"/>
                <w:szCs w:val="18"/>
                <w:color w:val="auto"/>
                <w:w w:val="99"/>
              </w:rPr>
              <w:t>(in thousands, except per share data)</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51"/>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70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503"/>
        </w:trPr>
        <w:tc>
          <w:tcPr>
            <w:tcW w:w="6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24"/>
                <w:szCs w:val="24"/>
                <w:color w:val="auto"/>
              </w:rPr>
            </w:pPr>
          </w:p>
        </w:tc>
        <w:tc>
          <w:tcPr>
            <w:tcW w:w="12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620" w:type="dxa"/>
            <w:vAlign w:val="bottom"/>
          </w:tcPr>
          <w:p>
            <w:pPr>
              <w:spacing w:after="0"/>
              <w:rPr>
                <w:sz w:val="17"/>
                <w:szCs w:val="17"/>
                <w:color w:val="auto"/>
              </w:rPr>
            </w:pPr>
          </w:p>
        </w:tc>
        <w:tc>
          <w:tcPr>
            <w:tcW w:w="7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0"/>
        </w:trPr>
        <w:tc>
          <w:tcPr>
            <w:tcW w:w="62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r>
      <w:tr>
        <w:trPr>
          <w:trHeight w:val="236"/>
        </w:trPr>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3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265,091</w:t>
            </w:r>
          </w:p>
        </w:tc>
      </w:tr>
      <w:tr>
        <w:trPr>
          <w:trHeight w:val="229"/>
        </w:trPr>
        <w:tc>
          <w:tcPr>
            <w:tcW w:w="83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1,148,084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1,037,678</w:t>
            </w:r>
          </w:p>
        </w:tc>
      </w:tr>
      <w:tr>
        <w:trPr>
          <w:trHeight w:val="230"/>
        </w:trPr>
        <w:tc>
          <w:tcPr>
            <w:tcW w:w="83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Current portion of notes receivable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87,861</w:t>
            </w:r>
          </w:p>
        </w:tc>
      </w:tr>
      <w:tr>
        <w:trPr>
          <w:trHeight w:val="229"/>
        </w:trPr>
        <w:tc>
          <w:tcPr>
            <w:tcW w:w="832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119,159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126,997</w:t>
            </w:r>
          </w:p>
        </w:tc>
      </w:tr>
      <w:tr>
        <w:trPr>
          <w:trHeight w:val="223"/>
        </w:trPr>
        <w:tc>
          <w:tcPr>
            <w:tcW w:w="620" w:type="dxa"/>
            <w:vAlign w:val="bottom"/>
            <w:shd w:val="clear" w:color="auto" w:fill="CCEEFF"/>
          </w:tcPr>
          <w:p>
            <w:pPr>
              <w:spacing w:after="0"/>
              <w:rPr>
                <w:sz w:val="19"/>
                <w:szCs w:val="19"/>
                <w:color w:val="auto"/>
              </w:rPr>
            </w:pPr>
          </w:p>
        </w:tc>
        <w:tc>
          <w:tcPr>
            <w:tcW w:w="7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1,556,889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1,517,627</w:t>
            </w:r>
          </w:p>
        </w:tc>
      </w:tr>
      <w:tr>
        <w:trPr>
          <w:trHeight w:val="229"/>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169,333</w:t>
            </w:r>
          </w:p>
        </w:tc>
      </w:tr>
      <w:tr>
        <w:trPr>
          <w:trHeight w:val="229"/>
        </w:trPr>
        <w:tc>
          <w:tcPr>
            <w:tcW w:w="8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assets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201,492</w:t>
            </w:r>
          </w:p>
        </w:tc>
      </w:tr>
      <w:tr>
        <w:trPr>
          <w:trHeight w:val="230"/>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1,239,835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1,242,777</w:t>
            </w:r>
          </w:p>
        </w:tc>
      </w:tr>
      <w:tr>
        <w:trPr>
          <w:trHeight w:val="229"/>
        </w:trPr>
        <w:tc>
          <w:tcPr>
            <w:tcW w:w="8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13,547</w:t>
            </w:r>
          </w:p>
        </w:tc>
      </w:tr>
      <w:tr>
        <w:trPr>
          <w:trHeight w:val="229"/>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Notes receivable, net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250,667</w:t>
            </w:r>
          </w:p>
        </w:tc>
      </w:tr>
      <w:tr>
        <w:trPr>
          <w:trHeight w:val="230"/>
        </w:trPr>
        <w:tc>
          <w:tcPr>
            <w:tcW w:w="8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91,174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95,085</w:t>
            </w:r>
          </w:p>
        </w:tc>
      </w:tr>
      <w:tr>
        <w:trPr>
          <w:trHeight w:val="223"/>
        </w:trPr>
        <w:tc>
          <w:tcPr>
            <w:tcW w:w="620" w:type="dxa"/>
            <w:vAlign w:val="bottom"/>
          </w:tcPr>
          <w:p>
            <w:pPr>
              <w:spacing w:after="0"/>
              <w:rPr>
                <w:sz w:val="19"/>
                <w:szCs w:val="19"/>
                <w:color w:val="auto"/>
              </w:rPr>
            </w:pP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3,506,530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3,490,528</w:t>
            </w:r>
          </w:p>
        </w:tc>
      </w:tr>
      <w:tr>
        <w:trPr>
          <w:trHeight w:val="20"/>
        </w:trPr>
        <w:tc>
          <w:tcPr>
            <w:tcW w:w="620" w:type="dxa"/>
            <w:vAlign w:val="bottom"/>
            <w:tcBorders>
              <w:bottom w:val="single" w:sz="8" w:color="CCEEFF"/>
            </w:tcBorders>
          </w:tcPr>
          <w:p>
            <w:pPr>
              <w:spacing w:after="0" w:line="20" w:lineRule="exact"/>
              <w:rPr>
                <w:sz w:val="1"/>
                <w:szCs w:val="1"/>
                <w:color w:val="auto"/>
              </w:rPr>
            </w:pPr>
          </w:p>
        </w:tc>
        <w:tc>
          <w:tcPr>
            <w:tcW w:w="7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7"/>
        </w:trPr>
        <w:tc>
          <w:tcPr>
            <w:tcW w:w="832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3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 accrued expenses and other</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206,247</w:t>
            </w:r>
          </w:p>
        </w:tc>
      </w:tr>
      <w:tr>
        <w:trPr>
          <w:trHeight w:val="230"/>
        </w:trPr>
        <w:tc>
          <w:tcPr>
            <w:tcW w:w="83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712,335</w:t>
            </w:r>
          </w:p>
        </w:tc>
      </w:tr>
      <w:tr>
        <w:trPr>
          <w:trHeight w:val="229"/>
        </w:trPr>
        <w:tc>
          <w:tcPr>
            <w:tcW w:w="83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Billings in excess of services provided</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56,607</w:t>
            </w:r>
          </w:p>
        </w:tc>
      </w:tr>
      <w:tr>
        <w:trPr>
          <w:trHeight w:val="223"/>
        </w:trPr>
        <w:tc>
          <w:tcPr>
            <w:tcW w:w="620" w:type="dxa"/>
            <w:vAlign w:val="bottom"/>
          </w:tcPr>
          <w:p>
            <w:pPr>
              <w:spacing w:after="0"/>
              <w:rPr>
                <w:sz w:val="19"/>
                <w:szCs w:val="19"/>
                <w:color w:val="auto"/>
              </w:rPr>
            </w:pP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676,828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975,189</w:t>
            </w:r>
          </w:p>
        </w:tc>
      </w:tr>
      <w:tr>
        <w:trPr>
          <w:trHeight w:val="229"/>
        </w:trPr>
        <w:tc>
          <w:tcPr>
            <w:tcW w:w="8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754,257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365,000</w:t>
            </w:r>
          </w:p>
        </w:tc>
      </w:tr>
      <w:tr>
        <w:trPr>
          <w:trHeight w:val="230"/>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224,510</w:t>
            </w:r>
          </w:p>
        </w:tc>
      </w:tr>
      <w:tr>
        <w:trPr>
          <w:trHeight w:val="230"/>
        </w:trPr>
        <w:tc>
          <w:tcPr>
            <w:tcW w:w="8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99,611</w:t>
            </w:r>
          </w:p>
        </w:tc>
      </w:tr>
      <w:tr>
        <w:trPr>
          <w:trHeight w:val="230"/>
        </w:trPr>
        <w:tc>
          <w:tcPr>
            <w:tcW w:w="83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95,540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92,487</w:t>
            </w:r>
          </w:p>
        </w:tc>
      </w:tr>
      <w:tr>
        <w:trPr>
          <w:trHeight w:val="223"/>
        </w:trPr>
        <w:tc>
          <w:tcPr>
            <w:tcW w:w="620" w:type="dxa"/>
            <w:vAlign w:val="bottom"/>
            <w:shd w:val="clear" w:color="auto" w:fill="CCEEFF"/>
          </w:tcPr>
          <w:p>
            <w:pPr>
              <w:spacing w:after="0"/>
              <w:rPr>
                <w:sz w:val="19"/>
                <w:szCs w:val="19"/>
                <w:color w:val="auto"/>
              </w:rPr>
            </w:pPr>
          </w:p>
        </w:tc>
        <w:tc>
          <w:tcPr>
            <w:tcW w:w="7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1,844,831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1,756,797</w:t>
            </w:r>
          </w:p>
        </w:tc>
      </w:tr>
      <w:tr>
        <w:trPr>
          <w:trHeight w:val="210"/>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8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184"/>
        </w:trPr>
        <w:tc>
          <w:tcPr>
            <w:tcW w:w="8320" w:type="dxa"/>
            <w:vAlign w:val="bottom"/>
            <w:gridSpan w:val="2"/>
          </w:tcPr>
          <w:p>
            <w:pPr>
              <w:ind w:left="520"/>
              <w:spacing w:after="0" w:line="184" w:lineRule="exact"/>
              <w:rPr>
                <w:sz w:val="20"/>
                <w:szCs w:val="20"/>
                <w:color w:val="auto"/>
              </w:rPr>
            </w:pPr>
            <w:r>
              <w:rPr>
                <w:rFonts w:ascii="Times New Roman" w:cs="Times New Roman" w:eastAsia="Times New Roman" w:hAnsi="Times New Roman"/>
                <w:sz w:val="18"/>
                <w:szCs w:val="18"/>
                <w:color w:val="auto"/>
              </w:rPr>
              <w:t>Preferred stock, $0.01 par value; shares authorized — 5,000; none</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4"/>
        </w:trPr>
        <w:tc>
          <w:tcPr>
            <w:tcW w:w="620" w:type="dxa"/>
            <w:vAlign w:val="bottom"/>
          </w:tcPr>
          <w:p>
            <w:pPr>
              <w:spacing w:after="0"/>
              <w:rPr>
                <w:sz w:val="20"/>
                <w:szCs w:val="20"/>
                <w:color w:val="auto"/>
              </w:rPr>
            </w:pPr>
          </w:p>
        </w:tc>
        <w:tc>
          <w:tcPr>
            <w:tcW w:w="7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outstanding</w:t>
            </w:r>
          </w:p>
        </w:tc>
        <w:tc>
          <w:tcPr>
            <w:tcW w:w="2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4"/>
        </w:trPr>
        <w:tc>
          <w:tcPr>
            <w:tcW w:w="8320" w:type="dxa"/>
            <w:vAlign w:val="bottom"/>
            <w:gridSpan w:val="2"/>
            <w:shd w:val="clear" w:color="auto" w:fill="CCEEFF"/>
          </w:tcPr>
          <w:p>
            <w:pPr>
              <w:ind w:left="520"/>
              <w:spacing w:after="0" w:line="184" w:lineRule="exact"/>
              <w:rPr>
                <w:sz w:val="20"/>
                <w:szCs w:val="20"/>
                <w:color w:val="auto"/>
              </w:rPr>
            </w:pPr>
            <w:r>
              <w:rPr>
                <w:rFonts w:ascii="Times New Roman" w:cs="Times New Roman" w:eastAsia="Times New Roman" w:hAnsi="Times New Roman"/>
                <w:sz w:val="18"/>
                <w:szCs w:val="18"/>
                <w:color w:val="auto"/>
              </w:rPr>
              <w:t>Common stock, $0.01 par value; shares authorized — 75,000; shares</w:t>
            </w: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34"/>
        </w:trPr>
        <w:tc>
          <w:tcPr>
            <w:tcW w:w="620" w:type="dxa"/>
            <w:vAlign w:val="bottom"/>
            <w:shd w:val="clear" w:color="auto" w:fill="CCEEFF"/>
          </w:tcPr>
          <w:p>
            <w:pPr>
              <w:spacing w:after="0"/>
              <w:rPr>
                <w:sz w:val="20"/>
                <w:szCs w:val="20"/>
                <w:color w:val="auto"/>
              </w:rPr>
            </w:pPr>
          </w:p>
        </w:tc>
        <w:tc>
          <w:tcPr>
            <w:tcW w:w="7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issued and outstanding 30,145 (2026) and 30,864 (2025)</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30"/>
        </w:trPr>
        <w:tc>
          <w:tcPr>
            <w:tcW w:w="83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29"/>
        </w:trPr>
        <w:tc>
          <w:tcPr>
            <w:tcW w:w="83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1,801,055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1,862,672</w:t>
            </w:r>
          </w:p>
        </w:tc>
      </w:tr>
      <w:tr>
        <w:trPr>
          <w:trHeight w:val="230"/>
        </w:trPr>
        <w:tc>
          <w:tcPr>
            <w:tcW w:w="832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(139,657)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(129,604)</w:t>
            </w:r>
          </w:p>
        </w:tc>
      </w:tr>
      <w:tr>
        <w:trPr>
          <w:trHeight w:val="223"/>
        </w:trPr>
        <w:tc>
          <w:tcPr>
            <w:tcW w:w="620" w:type="dxa"/>
            <w:vAlign w:val="bottom"/>
            <w:shd w:val="clear" w:color="auto" w:fill="CCEEFF"/>
          </w:tcPr>
          <w:p>
            <w:pPr>
              <w:spacing w:after="0"/>
              <w:rPr>
                <w:sz w:val="19"/>
                <w:szCs w:val="19"/>
                <w:color w:val="auto"/>
              </w:rPr>
            </w:pPr>
          </w:p>
        </w:tc>
        <w:tc>
          <w:tcPr>
            <w:tcW w:w="7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1,661,699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1,733,731</w:t>
            </w:r>
          </w:p>
        </w:tc>
      </w:tr>
      <w:tr>
        <w:trPr>
          <w:trHeight w:val="223"/>
        </w:trPr>
        <w:tc>
          <w:tcPr>
            <w:tcW w:w="620" w:type="dxa"/>
            <w:vAlign w:val="bottom"/>
          </w:tcPr>
          <w:p>
            <w:pPr>
              <w:spacing w:after="0"/>
              <w:rPr>
                <w:sz w:val="19"/>
                <w:szCs w:val="19"/>
                <w:color w:val="auto"/>
              </w:rPr>
            </w:pPr>
          </w:p>
        </w:tc>
        <w:tc>
          <w:tcPr>
            <w:tcW w:w="770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3,506,530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3,490,528</w:t>
            </w:r>
          </w:p>
        </w:tc>
      </w:tr>
      <w:tr>
        <w:trPr>
          <w:trHeight w:val="20"/>
        </w:trPr>
        <w:tc>
          <w:tcPr>
            <w:tcW w:w="6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ind w:left="4180"/>
        <w:spacing w:after="0"/>
        <w:rPr>
          <w:sz w:val="20"/>
          <w:szCs w:val="20"/>
          <w:color w:val="auto"/>
        </w:rPr>
      </w:pPr>
      <w:r>
        <w:rPr>
          <w:rFonts w:ascii="Times New Roman" w:cs="Times New Roman" w:eastAsia="Times New Roman" w:hAnsi="Times New Roman"/>
          <w:sz w:val="18"/>
          <w:szCs w:val="18"/>
          <w:b w:val="1"/>
          <w:bCs w:val="1"/>
          <w:color w:val="auto"/>
        </w:rPr>
        <w:t>FTI Consulting, Inc. and Subsidiaries</w:t>
      </w:r>
    </w:p>
    <w:p>
      <w:pPr>
        <w:spacing w:after="0" w:line="11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5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983,345</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898,282</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 cost of revenues</w:t>
            </w: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676,518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608,928</w:t>
            </w:r>
          </w:p>
        </w:tc>
        <w:tc>
          <w:tcPr>
            <w:tcW w:w="0" w:type="dxa"/>
            <w:vAlign w:val="bottom"/>
          </w:tcPr>
          <w:p>
            <w:pPr>
              <w:spacing w:after="0"/>
              <w:rPr>
                <w:sz w:val="1"/>
                <w:szCs w:val="1"/>
                <w:color w:val="auto"/>
              </w:rPr>
            </w:pPr>
          </w:p>
        </w:tc>
      </w:tr>
      <w:tr>
        <w:trPr>
          <w:trHeight w:val="270"/>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222,298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184,335</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Special charges</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25,295</w:t>
            </w:r>
          </w:p>
        </w:tc>
        <w:tc>
          <w:tcPr>
            <w:tcW w:w="0" w:type="dxa"/>
            <w:vAlign w:val="bottom"/>
          </w:tcPr>
          <w:p>
            <w:pPr>
              <w:spacing w:after="0"/>
              <w:rPr>
                <w:sz w:val="1"/>
                <w:szCs w:val="1"/>
                <w:color w:val="auto"/>
              </w:rPr>
            </w:pPr>
          </w:p>
        </w:tc>
      </w:tr>
      <w:tr>
        <w:trPr>
          <w:trHeight w:val="270"/>
        </w:trPr>
        <w:tc>
          <w:tcPr>
            <w:tcW w:w="8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899,428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819,575</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83,917</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78,707</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and other</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0" w:type="dxa"/>
            <w:vAlign w:val="bottom"/>
          </w:tcPr>
          <w:p>
            <w:pPr>
              <w:spacing w:after="0"/>
              <w:rPr>
                <w:sz w:val="1"/>
                <w:szCs w:val="1"/>
                <w:color w:val="auto"/>
              </w:rPr>
            </w:pPr>
          </w:p>
        </w:tc>
      </w:tr>
      <w:tr>
        <w:trPr>
          <w:trHeight w:val="270"/>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(6,445)</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0" w:type="dxa"/>
            <w:vAlign w:val="bottom"/>
          </w:tcPr>
          <w:p>
            <w:pPr>
              <w:spacing w:after="0"/>
              <w:rPr>
                <w:sz w:val="1"/>
                <w:szCs w:val="1"/>
                <w:color w:val="auto"/>
              </w:rPr>
            </w:pPr>
          </w:p>
        </w:tc>
      </w:tr>
      <w:tr>
        <w:trPr>
          <w:trHeight w:val="25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 provision</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78,546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80,581</w:t>
            </w:r>
          </w:p>
        </w:tc>
        <w:tc>
          <w:tcPr>
            <w:tcW w:w="0" w:type="dxa"/>
            <w:vAlign w:val="bottom"/>
          </w:tcPr>
          <w:p>
            <w:pPr>
              <w:spacing w:after="0"/>
              <w:rPr>
                <w:sz w:val="1"/>
                <w:szCs w:val="1"/>
                <w:color w:val="auto"/>
              </w:rPr>
            </w:pPr>
          </w:p>
        </w:tc>
      </w:tr>
      <w:tr>
        <w:trPr>
          <w:trHeight w:val="27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20,915</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18,757</w:t>
            </w:r>
          </w:p>
        </w:tc>
        <w:tc>
          <w:tcPr>
            <w:tcW w:w="0" w:type="dxa"/>
            <w:vAlign w:val="bottom"/>
          </w:tcPr>
          <w:p>
            <w:pPr>
              <w:spacing w:after="0"/>
              <w:rPr>
                <w:sz w:val="1"/>
                <w:szCs w:val="1"/>
                <w:color w:val="auto"/>
              </w:rPr>
            </w:pP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61,824</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 — basic</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2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 —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3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8320" w:type="dxa"/>
            <w:vAlign w:val="bottom"/>
            <w:shd w:val="clear" w:color="auto" w:fill="CCEEFF"/>
          </w:tcPr>
          <w:p>
            <w:pPr>
              <w:ind w:left="260"/>
              <w:spacing w:after="0" w:line="184" w:lineRule="exact"/>
              <w:rPr>
                <w:sz w:val="20"/>
                <w:szCs w:val="20"/>
                <w:color w:val="auto"/>
              </w:rPr>
            </w:pPr>
            <w:r>
              <w:rPr>
                <w:rFonts w:ascii="Times New Roman" w:cs="Times New Roman" w:eastAsia="Times New Roman" w:hAnsi="Times New Roman"/>
                <w:sz w:val="18"/>
                <w:szCs w:val="18"/>
                <w:color w:val="auto"/>
              </w:rPr>
              <w:t>Foreign currency translation adjustments, net of tax</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8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expense of $0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(10,053)</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14,574</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 net of tax</w:t>
            </w: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(10,053)</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14,574</w:t>
            </w:r>
          </w:p>
        </w:tc>
        <w:tc>
          <w:tcPr>
            <w:tcW w:w="0" w:type="dxa"/>
            <w:vAlign w:val="bottom"/>
          </w:tcPr>
          <w:p>
            <w:pPr>
              <w:spacing w:after="0"/>
              <w:rPr>
                <w:sz w:val="1"/>
                <w:szCs w:val="1"/>
                <w:color w:val="auto"/>
              </w:rPr>
            </w:pP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76,398</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ind w:left="4180"/>
        <w:spacing w:after="0"/>
        <w:rPr>
          <w:sz w:val="20"/>
          <w:szCs w:val="20"/>
          <w:color w:val="auto"/>
        </w:rPr>
      </w:pPr>
      <w:r>
        <w:rPr>
          <w:rFonts w:ascii="Times New Roman" w:cs="Times New Roman" w:eastAsia="Times New Roman" w:hAnsi="Times New Roman"/>
          <w:sz w:val="18"/>
          <w:szCs w:val="18"/>
          <w:b w:val="1"/>
          <w:bCs w:val="1"/>
          <w:color w:val="auto"/>
        </w:rPr>
        <w:t>FTI Consulting, Inc. and Subsidiaries</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2340" w:type="dxa"/>
            <w:vAlign w:val="bottom"/>
            <w:gridSpan w:val="4"/>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600" w:type="dxa"/>
            <w:vAlign w:val="bottom"/>
          </w:tcPr>
          <w:p>
            <w:pPr>
              <w:spacing w:after="0"/>
              <w:rPr>
                <w:sz w:val="9"/>
                <w:szCs w:val="9"/>
                <w:color w:val="auto"/>
              </w:rPr>
            </w:pPr>
          </w:p>
        </w:tc>
        <w:tc>
          <w:tcPr>
            <w:tcW w:w="234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80" w:type="dxa"/>
            <w:vAlign w:val="bottom"/>
          </w:tcPr>
          <w:p>
            <w:pPr>
              <w:spacing w:after="0"/>
              <w:rPr>
                <w:sz w:val="9"/>
                <w:szCs w:val="9"/>
                <w:color w:val="auto"/>
              </w:rPr>
            </w:pPr>
          </w:p>
        </w:tc>
        <w:tc>
          <w:tcPr>
            <w:tcW w:w="1060" w:type="dxa"/>
            <w:vAlign w:val="bottom"/>
            <w:gridSpan w:val="2"/>
            <w:vMerge w:val="restart"/>
          </w:tcPr>
          <w:p>
            <w:pPr>
              <w:ind w:left="8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9"/>
                <w:szCs w:val="9"/>
                <w:color w:val="auto"/>
              </w:rPr>
            </w:pPr>
          </w:p>
        </w:tc>
        <w:tc>
          <w:tcPr>
            <w:tcW w:w="142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3600" w:type="dxa"/>
            <w:vAlign w:val="bottom"/>
          </w:tcPr>
          <w:p>
            <w:pPr>
              <w:spacing w:after="0"/>
              <w:rPr>
                <w:sz w:val="3"/>
                <w:szCs w:val="3"/>
                <w:color w:val="auto"/>
              </w:rPr>
            </w:pPr>
          </w:p>
        </w:tc>
        <w:tc>
          <w:tcPr>
            <w:tcW w:w="12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3"/>
                <w:szCs w:val="3"/>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line="20" w:lineRule="exact"/>
              <w:rPr>
                <w:sz w:val="1"/>
                <w:szCs w:val="1"/>
                <w:color w:val="auto"/>
              </w:rPr>
            </w:pPr>
          </w:p>
        </w:tc>
      </w:tr>
      <w:tr>
        <w:trPr>
          <w:trHeight w:val="214"/>
        </w:trPr>
        <w:tc>
          <w:tcPr>
            <w:tcW w:w="36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8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600" w:type="dxa"/>
            <w:vAlign w:val="bottom"/>
            <w:tcBorders>
              <w:top w:val="single" w:sz="8" w:color="CCEEFF"/>
              <w:bottom w:val="single" w:sz="8" w:color="CCEEFF"/>
            </w:tcBorders>
            <w:shd w:val="clear" w:color="auto" w:fill="CCEEFF"/>
          </w:tcPr>
          <w:p>
            <w:pPr>
              <w:jc w:val="center"/>
              <w:ind w:right="1399"/>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1,862,672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1,733,731</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vMerge w:val="restart"/>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60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57,631</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57,631</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600" w:type="dxa"/>
            <w:vAlign w:val="bottom"/>
          </w:tcPr>
          <w:p>
            <w:pPr>
              <w:jc w:val="center"/>
              <w:ind w:right="339"/>
              <w:spacing w:after="0"/>
              <w:rPr>
                <w:sz w:val="20"/>
                <w:szCs w:val="20"/>
                <w:color w:val="auto"/>
              </w:rPr>
            </w:pPr>
            <w:r>
              <w:rPr>
                <w:rFonts w:ascii="Times New Roman" w:cs="Times New Roman" w:eastAsia="Times New Roman" w:hAnsi="Times New Roman"/>
                <w:sz w:val="16"/>
                <w:szCs w:val="16"/>
                <w:color w:val="auto"/>
              </w:rPr>
              <w:t>Cumulative translation adjustment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(10,053)</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Issuance of common stock in connection with:</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00" w:type="dxa"/>
            <w:vAlign w:val="bottom"/>
          </w:tcPr>
          <w:p>
            <w:pPr>
              <w:jc w:val="center"/>
              <w:ind w:right="1399"/>
              <w:spacing w:after="0"/>
              <w:rPr>
                <w:sz w:val="20"/>
                <w:szCs w:val="20"/>
                <w:color w:val="auto"/>
              </w:rPr>
            </w:pPr>
            <w:r>
              <w:rPr>
                <w:rFonts w:ascii="Times New Roman" w:cs="Times New Roman" w:eastAsia="Times New Roman" w:hAnsi="Times New Roman"/>
                <w:sz w:val="16"/>
                <w:szCs w:val="16"/>
                <w:color w:val="auto"/>
              </w:rPr>
              <w:t>Exercise of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191"/>
        </w:trPr>
        <w:tc>
          <w:tcPr>
            <w:tcW w:w="3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Restricted share grants, less net</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settled shares of 36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(2,367)</w:t>
            </w:r>
          </w:p>
        </w:tc>
        <w:tc>
          <w:tcPr>
            <w:tcW w:w="0" w:type="dxa"/>
            <w:vAlign w:val="bottom"/>
          </w:tcPr>
          <w:p>
            <w:pPr>
              <w:spacing w:after="0"/>
              <w:rPr>
                <w:sz w:val="1"/>
                <w:szCs w:val="1"/>
                <w:color w:val="auto"/>
              </w:rPr>
            </w:pPr>
          </w:p>
        </w:tc>
      </w:tr>
      <w:tr>
        <w:trPr>
          <w:trHeight w:val="162"/>
        </w:trPr>
        <w:tc>
          <w:tcPr>
            <w:tcW w:w="3600" w:type="dxa"/>
            <w:vAlign w:val="bottom"/>
          </w:tcPr>
          <w:p>
            <w:pPr>
              <w:jc w:val="center"/>
              <w:ind w:right="379"/>
              <w:spacing w:after="0" w:line="162" w:lineRule="exact"/>
              <w:rPr>
                <w:sz w:val="20"/>
                <w:szCs w:val="20"/>
                <w:color w:val="auto"/>
              </w:rPr>
            </w:pPr>
            <w:r>
              <w:rPr>
                <w:rFonts w:ascii="Times New Roman" w:cs="Times New Roman" w:eastAsia="Times New Roman" w:hAnsi="Times New Roman"/>
                <w:sz w:val="16"/>
                <w:szCs w:val="16"/>
                <w:color w:val="auto"/>
              </w:rPr>
              <w:t>Purchase and retirement of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(128,194)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(128,202)</w:t>
            </w:r>
          </w:p>
        </w:tc>
        <w:tc>
          <w:tcPr>
            <w:tcW w:w="0" w:type="dxa"/>
            <w:vAlign w:val="bottom"/>
          </w:tcPr>
          <w:p>
            <w:pPr>
              <w:spacing w:after="0"/>
              <w:rPr>
                <w:sz w:val="1"/>
                <w:szCs w:val="1"/>
                <w:color w:val="auto"/>
              </w:rPr>
            </w:pPr>
          </w:p>
        </w:tc>
      </w:tr>
      <w:tr>
        <w:trPr>
          <w:trHeight w:val="213"/>
        </w:trPr>
        <w:tc>
          <w:tcPr>
            <w:tcW w:w="3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including excise tax</w:t>
            </w: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jc w:val="center"/>
              <w:ind w:right="1419"/>
              <w:spacing w:after="0"/>
              <w:rPr>
                <w:sz w:val="20"/>
                <w:szCs w:val="20"/>
                <w:color w:val="auto"/>
              </w:rPr>
            </w:pPr>
            <w:r>
              <w:rPr>
                <w:rFonts w:ascii="Times New Roman" w:cs="Times New Roman" w:eastAsia="Times New Roman" w:hAnsi="Times New Roman"/>
                <w:sz w:val="16"/>
                <w:szCs w:val="16"/>
                <w:color w:val="auto"/>
              </w:rPr>
              <w:t>Share-based compensation</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10,608</w:t>
            </w:r>
          </w:p>
        </w:tc>
        <w:tc>
          <w:tcPr>
            <w:tcW w:w="0" w:type="dxa"/>
            <w:vAlign w:val="bottom"/>
          </w:tcPr>
          <w:p>
            <w:pPr>
              <w:spacing w:after="0"/>
              <w:rPr>
                <w:sz w:val="1"/>
                <w:szCs w:val="1"/>
                <w:color w:val="auto"/>
              </w:rPr>
            </w:pPr>
          </w:p>
        </w:tc>
      </w:tr>
      <w:tr>
        <w:trPr>
          <w:trHeight w:val="162"/>
        </w:trPr>
        <w:tc>
          <w:tcPr>
            <w:tcW w:w="360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Reclassification of negative additional paid-in</w:t>
            </w: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119,248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(119,248)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capital</w:t>
            </w: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2026</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1,801,055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1,661,699</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2340" w:type="dxa"/>
            <w:vAlign w:val="bottom"/>
            <w:gridSpan w:val="4"/>
            <w:vMerge w:val="restart"/>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600" w:type="dxa"/>
            <w:vAlign w:val="bottom"/>
          </w:tcPr>
          <w:p>
            <w:pPr>
              <w:spacing w:after="0"/>
              <w:rPr>
                <w:sz w:val="9"/>
                <w:szCs w:val="9"/>
                <w:color w:val="auto"/>
              </w:rPr>
            </w:pPr>
          </w:p>
        </w:tc>
        <w:tc>
          <w:tcPr>
            <w:tcW w:w="234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80" w:type="dxa"/>
            <w:vAlign w:val="bottom"/>
          </w:tcPr>
          <w:p>
            <w:pPr>
              <w:spacing w:after="0"/>
              <w:rPr>
                <w:sz w:val="9"/>
                <w:szCs w:val="9"/>
                <w:color w:val="auto"/>
              </w:rPr>
            </w:pPr>
          </w:p>
        </w:tc>
        <w:tc>
          <w:tcPr>
            <w:tcW w:w="1060" w:type="dxa"/>
            <w:vAlign w:val="bottom"/>
            <w:gridSpan w:val="2"/>
            <w:vMerge w:val="restart"/>
          </w:tcPr>
          <w:p>
            <w:pPr>
              <w:ind w:left="8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9"/>
                <w:szCs w:val="9"/>
                <w:color w:val="auto"/>
              </w:rPr>
            </w:pPr>
          </w:p>
        </w:tc>
        <w:tc>
          <w:tcPr>
            <w:tcW w:w="142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3600" w:type="dxa"/>
            <w:vAlign w:val="bottom"/>
          </w:tcPr>
          <w:p>
            <w:pPr>
              <w:spacing w:after="0"/>
              <w:rPr>
                <w:sz w:val="3"/>
                <w:szCs w:val="3"/>
                <w:color w:val="auto"/>
              </w:rPr>
            </w:pPr>
          </w:p>
        </w:tc>
        <w:tc>
          <w:tcPr>
            <w:tcW w:w="12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3"/>
                <w:szCs w:val="3"/>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line="20" w:lineRule="exact"/>
              <w:rPr>
                <w:sz w:val="1"/>
                <w:szCs w:val="1"/>
                <w:color w:val="auto"/>
              </w:rPr>
            </w:pPr>
          </w:p>
        </w:tc>
      </w:tr>
      <w:tr>
        <w:trPr>
          <w:trHeight w:val="214"/>
        </w:trPr>
        <w:tc>
          <w:tcPr>
            <w:tcW w:w="36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8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600" w:type="dxa"/>
            <w:vAlign w:val="bottom"/>
            <w:tcBorders>
              <w:top w:val="single" w:sz="8" w:color="CCEEFF"/>
              <w:bottom w:val="single" w:sz="8" w:color="CCEEFF"/>
            </w:tcBorders>
            <w:shd w:val="clear" w:color="auto" w:fill="CCEEFF"/>
          </w:tcPr>
          <w:p>
            <w:pPr>
              <w:jc w:val="center"/>
              <w:ind w:right="1399"/>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2,394,853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2,258,290</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vMerge w:val="restart"/>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600" w:type="dxa"/>
            <w:vAlign w:val="bottom"/>
            <w:tcBorders>
              <w:top w:val="single" w:sz="8" w:color="CCEEFF"/>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61,824</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61,824</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600" w:type="dxa"/>
            <w:vAlign w:val="bottom"/>
          </w:tcPr>
          <w:p>
            <w:pPr>
              <w:jc w:val="center"/>
              <w:ind w:right="339"/>
              <w:spacing w:after="0"/>
              <w:rPr>
                <w:sz w:val="20"/>
                <w:szCs w:val="20"/>
                <w:color w:val="auto"/>
              </w:rPr>
            </w:pPr>
            <w:r>
              <w:rPr>
                <w:rFonts w:ascii="Times New Roman" w:cs="Times New Roman" w:eastAsia="Times New Roman" w:hAnsi="Times New Roman"/>
                <w:sz w:val="16"/>
                <w:szCs w:val="16"/>
                <w:color w:val="auto"/>
              </w:rPr>
              <w:t>Cumulative translation adjustment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14,574</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Issuance of common stock in connection with:</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00" w:type="dxa"/>
            <w:vAlign w:val="bottom"/>
          </w:tcPr>
          <w:p>
            <w:pPr>
              <w:jc w:val="center"/>
              <w:ind w:right="1399"/>
              <w:spacing w:after="0"/>
              <w:rPr>
                <w:sz w:val="20"/>
                <w:szCs w:val="20"/>
                <w:color w:val="auto"/>
              </w:rPr>
            </w:pPr>
            <w:r>
              <w:rPr>
                <w:rFonts w:ascii="Times New Roman" w:cs="Times New Roman" w:eastAsia="Times New Roman" w:hAnsi="Times New Roman"/>
                <w:sz w:val="16"/>
                <w:szCs w:val="16"/>
                <w:color w:val="auto"/>
              </w:rPr>
              <w:t>Exercise of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91"/>
        </w:trPr>
        <w:tc>
          <w:tcPr>
            <w:tcW w:w="3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Restricted share grants, less net</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settled shares of 64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(7,207)</w:t>
            </w:r>
          </w:p>
        </w:tc>
        <w:tc>
          <w:tcPr>
            <w:tcW w:w="0" w:type="dxa"/>
            <w:vAlign w:val="bottom"/>
          </w:tcPr>
          <w:p>
            <w:pPr>
              <w:spacing w:after="0"/>
              <w:rPr>
                <w:sz w:val="1"/>
                <w:szCs w:val="1"/>
                <w:color w:val="auto"/>
              </w:rPr>
            </w:pPr>
          </w:p>
        </w:tc>
      </w:tr>
      <w:tr>
        <w:trPr>
          <w:trHeight w:val="162"/>
        </w:trPr>
        <w:tc>
          <w:tcPr>
            <w:tcW w:w="36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Purchase and retirement of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(187,665)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(187,676)</w:t>
            </w:r>
          </w:p>
        </w:tc>
        <w:tc>
          <w:tcPr>
            <w:tcW w:w="0" w:type="dxa"/>
            <w:vAlign w:val="bottom"/>
          </w:tcPr>
          <w:p>
            <w:pPr>
              <w:spacing w:after="0"/>
              <w:rPr>
                <w:sz w:val="1"/>
                <w:szCs w:val="1"/>
                <w:color w:val="auto"/>
              </w:rPr>
            </w:pPr>
          </w:p>
        </w:tc>
      </w:tr>
      <w:tr>
        <w:trPr>
          <w:trHeight w:val="213"/>
        </w:trPr>
        <w:tc>
          <w:tcPr>
            <w:tcW w:w="3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including excise tax</w:t>
            </w: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9,753</w:t>
            </w:r>
          </w:p>
        </w:tc>
        <w:tc>
          <w:tcPr>
            <w:tcW w:w="0" w:type="dxa"/>
            <w:vAlign w:val="bottom"/>
          </w:tcPr>
          <w:p>
            <w:pPr>
              <w:spacing w:after="0"/>
              <w:rPr>
                <w:sz w:val="1"/>
                <w:szCs w:val="1"/>
                <w:color w:val="auto"/>
              </w:rPr>
            </w:pPr>
          </w:p>
        </w:tc>
      </w:tr>
      <w:tr>
        <w:trPr>
          <w:trHeight w:val="162"/>
        </w:trPr>
        <w:tc>
          <w:tcPr>
            <w:tcW w:w="36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Reclassification of negative additional paid-in</w:t>
            </w: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145,390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(145,390)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capital</w:t>
            </w: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2,311,287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2,149,638</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ind w:left="4180"/>
        <w:spacing w:after="0"/>
        <w:rPr>
          <w:sz w:val="20"/>
          <w:szCs w:val="20"/>
          <w:color w:val="auto"/>
        </w:rPr>
      </w:pPr>
      <w:r>
        <w:rPr>
          <w:rFonts w:ascii="Times New Roman" w:cs="Times New Roman" w:eastAsia="Times New Roman" w:hAnsi="Times New Roman"/>
          <w:sz w:val="18"/>
          <w:szCs w:val="18"/>
          <w:b w:val="1"/>
          <w:bCs w:val="1"/>
          <w:color w:val="auto"/>
        </w:rPr>
        <w:t>FTI Consulting, Inc. and Subsidiaries</w:t>
      </w:r>
    </w:p>
    <w:p>
      <w:pPr>
        <w:spacing w:after="0" w:line="11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83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61,824</w:t>
            </w:r>
          </w:p>
        </w:tc>
      </w:tr>
      <w:tr>
        <w:trPr>
          <w:trHeight w:val="229"/>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8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10,145</w:t>
            </w:r>
          </w:p>
        </w:tc>
      </w:tr>
      <w:tr>
        <w:trPr>
          <w:trHeight w:val="229"/>
        </w:trPr>
        <w:tc>
          <w:tcPr>
            <w:tcW w:w="8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r>
      <w:tr>
        <w:trPr>
          <w:trHeight w:val="229"/>
        </w:trPr>
        <w:tc>
          <w:tcPr>
            <w:tcW w:w="8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Amortization of notes receivable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9,930</w:t>
            </w:r>
          </w:p>
        </w:tc>
      </w:tr>
      <w:tr>
        <w:trPr>
          <w:trHeight w:val="230"/>
        </w:trPr>
        <w:tc>
          <w:tcPr>
            <w:tcW w:w="8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w:t>
            </w:r>
          </w:p>
        </w:tc>
      </w:tr>
      <w:tr>
        <w:trPr>
          <w:trHeight w:val="229"/>
        </w:trPr>
        <w:tc>
          <w:tcPr>
            <w:tcW w:w="8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9,753</w:t>
            </w:r>
          </w:p>
        </w:tc>
      </w:tr>
      <w:tr>
        <w:trPr>
          <w:trHeight w:val="230"/>
        </w:trPr>
        <w:tc>
          <w:tcPr>
            <w:tcW w:w="8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8,889</w:t>
            </w:r>
          </w:p>
        </w:tc>
      </w:tr>
      <w:tr>
        <w:trPr>
          <w:trHeight w:val="229"/>
        </w:trPr>
        <w:tc>
          <w:tcPr>
            <w:tcW w:w="8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29"/>
        </w:trPr>
        <w:tc>
          <w:tcPr>
            <w:tcW w:w="8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from acquisitions: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8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receivable, billed and unbilled</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(123,341)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(74,890)</w:t>
            </w:r>
          </w:p>
        </w:tc>
      </w:tr>
      <w:tr>
        <w:trPr>
          <w:trHeight w:val="229"/>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Notes receivable, net of repayments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(162,003)</w:t>
            </w:r>
          </w:p>
        </w:tc>
      </w:tr>
      <w:tr>
        <w:trPr>
          <w:trHeight w:val="230"/>
        </w:trPr>
        <w:tc>
          <w:tcPr>
            <w:tcW w:w="8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(4,445)</w:t>
            </w:r>
          </w:p>
        </w:tc>
      </w:tr>
      <w:tr>
        <w:trPr>
          <w:trHeight w:val="229"/>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 accrued expenses and other</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7,653</w:t>
            </w:r>
          </w:p>
        </w:tc>
      </w:tr>
      <w:tr>
        <w:trPr>
          <w:trHeight w:val="229"/>
        </w:trPr>
        <w:tc>
          <w:tcPr>
            <w:tcW w:w="8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taxes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(30,198)</w:t>
            </w:r>
          </w:p>
        </w:tc>
      </w:tr>
      <w:tr>
        <w:trPr>
          <w:trHeight w:val="230"/>
        </w:trPr>
        <w:tc>
          <w:tcPr>
            <w:tcW w:w="8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(310,495)</w:t>
            </w:r>
          </w:p>
        </w:tc>
      </w:tr>
      <w:tr>
        <w:trPr>
          <w:trHeight w:val="229"/>
        </w:trPr>
        <w:tc>
          <w:tcPr>
            <w:tcW w:w="83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Billings in excess of services provided</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3"/>
        </w:trPr>
        <w:tc>
          <w:tcPr>
            <w:tcW w:w="83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(310,023)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(465,210)</w:t>
            </w: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 and other</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(17,803)</w:t>
            </w:r>
          </w:p>
        </w:tc>
      </w:tr>
      <w:tr>
        <w:trPr>
          <w:trHeight w:val="223"/>
        </w:trPr>
        <w:tc>
          <w:tcPr>
            <w:tcW w:w="832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(17,803)</w:t>
            </w: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Borrowings under revolving line of credit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235,000</w:t>
            </w:r>
          </w:p>
        </w:tc>
      </w:tr>
      <w:tr>
        <w:trPr>
          <w:trHeight w:val="230"/>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Repayments under revolving line of credit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30"/>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issuance of term loan</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(182,641)</w:t>
            </w:r>
          </w:p>
        </w:tc>
      </w:tr>
      <w:tr>
        <w:trPr>
          <w:trHeight w:val="230"/>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 tax withholdings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(11,576)</w:t>
            </w:r>
          </w:p>
        </w:tc>
      </w:tr>
      <w:tr>
        <w:trPr>
          <w:trHeight w:val="230"/>
        </w:trPr>
        <w:tc>
          <w:tcPr>
            <w:tcW w:w="8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Deposits and other</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r>
      <w:tr>
        <w:trPr>
          <w:trHeight w:val="223"/>
        </w:trPr>
        <w:tc>
          <w:tcPr>
            <w:tcW w:w="832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258,498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(32,301)</w:t>
            </w: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w:t>
            </w: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(509,372)</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265,091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660,493</w:t>
            </w: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198,276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151,121</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7"/>
        </w:trPr>
        <w:tc>
          <w:tcPr>
            <w:tcW w:w="83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0"/>
        </w:trPr>
        <w:tc>
          <w:tcPr>
            <w:tcW w:w="8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Cash paid for interest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29"/>
        </w:trPr>
        <w:tc>
          <w:tcPr>
            <w:tcW w:w="8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Cash paid for income taxes and tax credits, net of refunds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40,066</w:t>
            </w:r>
          </w:p>
        </w:tc>
      </w:tr>
      <w:tr>
        <w:trPr>
          <w:trHeight w:val="230"/>
        </w:trPr>
        <w:tc>
          <w:tcPr>
            <w:tcW w:w="8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Issuance of stock units under incentive compensation plans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w:t>
            </w:r>
          </w:p>
        </w:tc>
      </w:tr>
      <w:tr>
        <w:trPr>
          <w:trHeight w:val="229"/>
        </w:trPr>
        <w:tc>
          <w:tcPr>
            <w:tcW w:w="8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Excise tax on purchase and retirement of common stock</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r>
      <w:tr>
        <w:trPr>
          <w:trHeight w:val="230"/>
        </w:trPr>
        <w:tc>
          <w:tcPr>
            <w:tcW w:w="8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Non-cash additions to property and equipment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w:t>
            </w: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ind w:left="4180"/>
        <w:spacing w:after="0"/>
        <w:rPr>
          <w:sz w:val="20"/>
          <w:szCs w:val="20"/>
          <w:color w:val="auto"/>
        </w:rPr>
      </w:pPr>
      <w:r>
        <w:rPr>
          <w:rFonts w:ascii="Times New Roman" w:cs="Times New Roman" w:eastAsia="Times New Roman" w:hAnsi="Times New Roman"/>
          <w:sz w:val="18"/>
          <w:szCs w:val="18"/>
          <w:b w:val="1"/>
          <w:bCs w:val="1"/>
          <w:color w:val="auto"/>
        </w:rPr>
        <w:t>FTI Consulting, Inc. and Subsidiaries</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(dollar and share amounts in tables in thousands, except per share data)</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Significant Accounting Policies</w:t>
      </w:r>
    </w:p>
    <w:p>
      <w:pPr>
        <w:spacing w:after="0" w:line="175"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FTI Consulting, Inc., including its consolidated subsidiaries (collectively, the “Company,” “we,” “our” or “FTI Consulting”), presented herein, have been prepared in accordance with generally accepted accounting principles in the United States (“GAAP”) and under the rules and regulations of the Securities and Exchange Commission (“SEC”) for interim financial information. Some of the information and footnote disclosures normally included in annual financial statements have been condensed or omitted pursuant to those rules and regulations. Certain prior period amounts have been reclassified to conform to the current period presentation. In management’s opinion, the interim financial statements reflect all adjustments that are necessary for a fair presentation of the results for the interim periods presented. All adjustments made were normal recurring accruals. The fair values of all financial instruments are estimated to be equal to their carrying values as of March 31, 2026 and December 31, 2025. Results of operations for the interim periods presented herein are not necessarily indicative of results of operations for a full year. These financial statements should be read in conjunction with the consolidated financial statements and the notes thereto contained in our Annual Report on Form 10-K for the year ended December 31, 2025 filed with the SEC.</w:t>
      </w:r>
    </w:p>
    <w:p>
      <w:pPr>
        <w:spacing w:after="0" w:line="140"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Note 1 to the Consolidated Financial Statements included in Part II, Item 8, of our Annual Report on Form 10-K for the year ended December 31, 2025 describes the significant accounting policies and methods used in preparation of the Condensed Consolidated Financial Statements in this Quarterly Report on Form 10-Q.</w:t>
      </w:r>
    </w:p>
    <w:p>
      <w:pPr>
        <w:spacing w:after="0" w:line="122"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 xml:space="preserve">We executed a forward contract to manage the foreign currency exposure of an intercompany loan during the three months ended March 31, 2026. This contract was not designated as a hedge for financial reporting purposes, but rather as a non-hedging derivative in accordance with Accounting Standards Codification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immaterial change in fair value of the derivative is included in “Interest income and other” on the Condensed Consolidated Statements of Comprehensive Income. We had no outstanding derivative instruments as of March 31,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New Accounting Standards</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 xml:space="preserve">In November 2024, the Financial Accounting Standards Board (“FASB”) issued Accounting Standards Update (“ASU”) 2024-03, </w:t>
      </w:r>
      <w:r>
        <w:rPr>
          <w:rFonts w:ascii="Times New Roman" w:cs="Times New Roman" w:eastAsia="Times New Roman" w:hAnsi="Times New Roman"/>
          <w:sz w:val="17"/>
          <w:szCs w:val="17"/>
          <w:i w:val="1"/>
          <w:iCs w:val="1"/>
          <w:color w:val="auto"/>
        </w:rPr>
        <w:t>Income Statement</w:t>
      </w:r>
    </w:p>
    <w:p>
      <w:pPr>
        <w:spacing w:after="0" w:line="41" w:lineRule="exact"/>
        <w:rPr>
          <w:sz w:val="20"/>
          <w:szCs w:val="20"/>
          <w:color w:val="auto"/>
        </w:rPr>
      </w:pPr>
    </w:p>
    <w:p>
      <w:pPr>
        <w:ind w:firstLine="8"/>
        <w:spacing w:after="0" w:line="253" w:lineRule="auto"/>
        <w:tabs>
          <w:tab w:leader="none" w:pos="10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Reporting Comprehensive Income - Expense Disaggregation Disclosures (Subtopic 220-40): Disaggregation of Income Statement Expenses</w:t>
      </w:r>
      <w:r>
        <w:rPr>
          <w:rFonts w:ascii="Times New Roman" w:cs="Times New Roman" w:eastAsia="Times New Roman" w:hAnsi="Times New Roman"/>
          <w:sz w:val="18"/>
          <w:szCs w:val="18"/>
          <w:color w:val="auto"/>
        </w:rPr>
        <w: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additional, disaggregated disclosure around certain income statement expense line items. The amendments in this ASU are effective for annual periods beginning after December 15, 2026 and interim periods beginning after December 15, 2027, although early adoption is permitted. The Company is in the process of evaluating the impact of this new guidance on its consolidated financial statements.</w:t>
      </w:r>
    </w:p>
    <w:p>
      <w:pPr>
        <w:spacing w:after="0" w:line="133" w:lineRule="exact"/>
        <w:rPr>
          <w:sz w:val="20"/>
          <w:szCs w:val="20"/>
          <w:color w:val="auto"/>
        </w:rPr>
      </w:pPr>
    </w:p>
    <w:p>
      <w:pPr>
        <w:ind w:right="100" w:firstLine="486"/>
        <w:spacing w:after="0" w:line="277" w:lineRule="auto"/>
        <w:rPr>
          <w:sz w:val="20"/>
          <w:szCs w:val="20"/>
          <w:color w:val="auto"/>
        </w:rPr>
      </w:pPr>
      <w:r>
        <w:rPr>
          <w:rFonts w:ascii="Times New Roman" w:cs="Times New Roman" w:eastAsia="Times New Roman" w:hAnsi="Times New Roman"/>
          <w:sz w:val="17"/>
          <w:szCs w:val="17"/>
          <w:color w:val="auto"/>
        </w:rPr>
        <w:t xml:space="preserve">In September 2025, the FASB issued ASU 2025-06, </w:t>
      </w:r>
      <w:r>
        <w:rPr>
          <w:rFonts w:ascii="Times New Roman" w:cs="Times New Roman" w:eastAsia="Times New Roman" w:hAnsi="Times New Roman"/>
          <w:sz w:val="17"/>
          <w:szCs w:val="17"/>
          <w:i w:val="1"/>
          <w:iCs w:val="1"/>
          <w:color w:val="auto"/>
        </w:rPr>
        <w:t>Intangibles - Goodwill and Other - Internal-Use Software (Subtopic 350-40): Targeted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Improvements to the Accounting for Internal-Use Software</w:t>
      </w:r>
      <w:r>
        <w:rPr>
          <w:rFonts w:ascii="Times New Roman" w:cs="Times New Roman" w:eastAsia="Times New Roman" w:hAnsi="Times New Roman"/>
          <w:sz w:val="17"/>
          <w:szCs w:val="17"/>
          <w:color w:val="auto"/>
        </w:rPr>
        <w:t>, which modernizes the accounting for internal-use software costs by increasing the operability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recognition guidance to reflect neutrality toward different methods of software development. The amendments in this ASU are effective for annual and interim periods beginning after December 15, 2027 and can be applied prospectively, retrospectively, or with a modified transition approach. Early adoption is permitted. The Company is in the process of evaluating the impact of this new guidance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7"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3. Earnings per Common Share</w:t>
      </w:r>
    </w:p>
    <w:p>
      <w:pPr>
        <w:spacing w:after="0" w:line="175"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Basic earnings per common share is calculated by dividing net income by the weighted average number of common shares outstanding during the period. Diluted earnings per common share adjusts basic earnings per common share for the effects of potentially dilutive common shares. Potentially dilutive common shares include the dilutive effects of shares issuable upon exercise or vesting of outstanding awards under our equity compensation plans, including stock options and share-based awards (restricted share awards, restricted stock units and performance stock units), each using the treasury stock method.</w:t>
      </w:r>
    </w:p>
    <w:p>
      <w:pPr>
        <w:spacing w:after="0" w:line="218"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33655</wp:posOffset>
            </wp:positionV>
            <wp:extent cx="18516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35" w:lineRule="exact"/>
        <w:rPr>
          <w:sz w:val="20"/>
          <w:szCs w:val="20"/>
          <w:color w:val="auto"/>
        </w:rPr>
      </w:pPr>
    </w:p>
    <w:p>
      <w:pPr>
        <w:ind w:left="8880"/>
        <w:spacing w:after="0"/>
        <w:tabs>
          <w:tab w:leader="none" w:pos="1038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Numerator — basic and diluted</w:t>
      </w:r>
    </w:p>
    <w:p>
      <w:pPr>
        <w:spacing w:after="0" w:line="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23" w:lineRule="exact"/>
        <w:rPr>
          <w:sz w:val="20"/>
          <w:szCs w:val="20"/>
          <w:color w:val="auto"/>
        </w:rPr>
      </w:pPr>
    </w:p>
    <w:p>
      <w:pPr>
        <w:ind w:left="220" w:right="2600"/>
        <w:spacing w:after="0" w:line="277" w:lineRule="auto"/>
        <w:rPr>
          <w:sz w:val="20"/>
          <w:szCs w:val="20"/>
          <w:color w:val="auto"/>
        </w:rPr>
      </w:pPr>
      <w:r>
        <w:rPr>
          <w:rFonts w:ascii="Times New Roman" w:cs="Times New Roman" w:eastAsia="Times New Roman" w:hAnsi="Times New Roman"/>
          <w:sz w:val="18"/>
          <w:szCs w:val="18"/>
          <w:color w:val="auto"/>
        </w:rPr>
        <w:t>Weighted average number of common shares outstanding — basic Effect of dilutive share-based awards and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57,631</w:t>
            </w:r>
          </w:p>
        </w:tc>
        <w:tc>
          <w:tcPr>
            <w:tcW w:w="120" w:type="dxa"/>
            <w:vAlign w:val="bottom"/>
          </w:tcPr>
          <w:p>
            <w:pPr>
              <w:spacing w:after="0"/>
              <w:rPr>
                <w:sz w:val="20"/>
                <w:szCs w:val="20"/>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61,824</w:t>
            </w:r>
          </w:p>
        </w:tc>
      </w:tr>
      <w:tr>
        <w:trPr>
          <w:trHeight w:val="21"/>
        </w:trPr>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21"/>
        </w:trPr>
        <w:tc>
          <w:tcPr>
            <w:tcW w:w="4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29,984</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35,053</w:t>
            </w:r>
          </w:p>
        </w:tc>
      </w:tr>
      <w:tr>
        <w:trPr>
          <w:trHeight w:val="234"/>
        </w:trPr>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r>
    </w:tbl>
    <w:p>
      <w:pPr>
        <w:spacing w:after="0" w:line="19" w:lineRule="exact"/>
        <w:rPr>
          <w:sz w:val="20"/>
          <w:szCs w:val="20"/>
          <w:color w:val="auto"/>
        </w:rPr>
      </w:pPr>
    </w:p>
    <w:p>
      <w:pPr>
        <w:sectPr>
          <w:pgSz w:w="11900" w:h="16838" w:orient="portrait"/>
          <w:cols w:equalWidth="0" w:num="2">
            <w:col w:w="7600" w:space="720"/>
            <w:col w:w="2920"/>
          </w:cols>
          <w:pgMar w:left="320" w:top="887"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8320" w:type="dxa"/>
            <w:vAlign w:val="bottom"/>
          </w:tcPr>
          <w:p>
            <w:pPr>
              <w:ind w:left="220"/>
              <w:spacing w:after="0" w:line="204" w:lineRule="exact"/>
              <w:rPr>
                <w:sz w:val="20"/>
                <w:szCs w:val="20"/>
                <w:color w:val="auto"/>
              </w:rPr>
            </w:pPr>
            <w:r>
              <w:rPr>
                <w:rFonts w:ascii="Times New Roman" w:cs="Times New Roman" w:eastAsia="Times New Roman" w:hAnsi="Times New Roman"/>
                <w:sz w:val="18"/>
                <w:szCs w:val="18"/>
                <w:color w:val="auto"/>
              </w:rPr>
              <w:t>Weighted average number of common shares outstanding — diluted</w:t>
            </w:r>
          </w:p>
        </w:tc>
        <w:tc>
          <w:tcPr>
            <w:tcW w:w="4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30,329</w:t>
            </w:r>
          </w:p>
        </w:tc>
        <w:tc>
          <w:tcPr>
            <w:tcW w:w="120" w:type="dxa"/>
            <w:vAlign w:val="bottom"/>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35,500</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 — basic</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3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Earnings per common share — diluted</w:t>
            </w:r>
          </w:p>
        </w:tc>
        <w:tc>
          <w:tcPr>
            <w:tcW w:w="480" w:type="dxa"/>
            <w:vAlign w:val="bottom"/>
            <w:tcBorders>
              <w:bottom w:val="single" w:sz="8" w:color="auto"/>
            </w:tcBorders>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1.74</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9"/>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Antidilutive share-based awards and stock options</w:t>
            </w:r>
          </w:p>
        </w:tc>
        <w:tc>
          <w:tcPr>
            <w:tcW w:w="4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Revenues</w:t>
      </w:r>
    </w:p>
    <w:p>
      <w:pPr>
        <w:spacing w:after="0" w:line="175"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We generate the majority of our revenues by providing consulting services to our clients. Revenues are recognized when we satisfy a performance obligation by transferring services promised in a contract to a customer and in an amount that reflects the consideration that we expect to receive in exchange for those services. Performance obligations in our contracts represent distinct or separate services that we provide to our customers. If, at the outset of an arrangement, we determine that a contract with enforceable rights and obligations does not exist, revenues are deferred until all criteria for an enforceable contract are met.</w:t>
      </w:r>
    </w:p>
    <w:p>
      <w:pPr>
        <w:spacing w:after="0" w:line="12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Revenues recognized during the current period may include revenues from performance obligations satisfied or partially satisfied in prior periods. This primarily occurs when the estimated transaction price has changed based on our current probability assessment over whether the agreed-upon outcome for our performance-based and contingent arrangements will be achieved. The aggregate amount of revenues recognized related to a change in the transaction price in the current period, which related to performance obligations satisfied or partially satisfied in a prior period, was $5.5 million and $10.8 million for the three months ended March 31, 2026 and 2025, respectively.</w:t>
      </w:r>
    </w:p>
    <w:p>
      <w:pPr>
        <w:spacing w:after="0" w:line="12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Unfulfilled performance obligations primarily consist of fees not yet recognized on certain fixed-fee, performance-based and contingent arrangements. As of March 31, 2026 and December 31, 2025, the aggregate amount of the remaining contract transaction price allocated to unfulfilled performance obligations was $20.1 million and $27.3 million, respectively. We expect to recognize the majority of the related revenues over the next 12 months. We elected to utilize the optional exemption to exclude from this disclosure fixed-fee and performance-based and contingent arrangements with an original expected duration of one year or less and to exclude our time and expense arrangements for which revenues are recognized using the right-to-invoice practical expedient.</w:t>
      </w:r>
    </w:p>
    <w:p>
      <w:pPr>
        <w:spacing w:after="0" w:line="133"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Contract assets are defined as assets for which we have recorded revenues but are not yet entitled to receive our fees because certain events, such as completion of the measurement period or client approval, must occur. The contract asset balance was immaterial as of March 31, 2026 and December 31, 2025.</w:t>
      </w:r>
    </w:p>
    <w:p>
      <w:pPr>
        <w:spacing w:after="0" w:line="122"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Contract liabilities are defined as liabilities incurred when we have received consideration but have not yet performed the agreed-upon services. This may occur when clients pay fees before work begins. The contract liability balance was immaterial as of March 31, 2026 and December 31, 2025.</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5. Accounts Receivable and Allowance for Expected Credit Losses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components of “Accounts receivable, net” as presented on the Condensed Consolidated Balance Sheets: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72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Billed receivables</w:t>
            </w:r>
          </w:p>
        </w:tc>
        <w:tc>
          <w:tcPr>
            <w:tcW w:w="3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823,863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764,217</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Unbilled receivables</w:t>
            </w: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430,574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378,115</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(106,353)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(104,654)</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38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1,148,084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1,037,678</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total provision for expected credit losses and write-offs: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79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7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gridSpan w:val="7"/>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4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0" w:type="dxa"/>
            <w:vAlign w:val="bottom"/>
          </w:tcPr>
          <w:p>
            <w:pPr>
              <w:spacing w:after="0"/>
              <w:rPr>
                <w:sz w:val="1"/>
                <w:szCs w:val="1"/>
                <w:color w:val="auto"/>
              </w:rPr>
            </w:pPr>
          </w:p>
        </w:tc>
      </w:tr>
      <w:tr>
        <w:trPr>
          <w:trHeight w:val="23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6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10,410</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Our provision for expected credit losses includes recoveries, direct write-offs and charges to other accounts. Billed accounts receivables are written off when the potential for recovery is considered remote.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Special Charges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special charges recorded during the three months ended March 31, 2026.</w:t>
      </w:r>
    </w:p>
    <w:p>
      <w:pPr>
        <w:spacing w:after="0" w:line="171"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we recorded special charges of $25.3 million related to targeted headcount reductions in each segment and region where we realigned our workforce with current business demand for our consulting services.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details the special charges by segment: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90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228"/>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Finance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11,696</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Forensic and Litigation Consulting (“FLC”)</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Economic Consulting</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Communications</w:t>
            </w: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r>
      <w:tr>
        <w:trPr>
          <w:trHeight w:val="250"/>
        </w:trPr>
        <w:tc>
          <w:tcPr>
            <w:tcW w:w="9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Segment special charges</w:t>
            </w:r>
          </w:p>
        </w:tc>
        <w:tc>
          <w:tcPr>
            <w:tcW w:w="2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23,350</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w:t>
            </w: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r>
      <w:tr>
        <w:trPr>
          <w:trHeight w:val="223"/>
        </w:trPr>
        <w:tc>
          <w:tcPr>
            <w:tcW w:w="90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25,295</w:t>
            </w:r>
          </w:p>
        </w:tc>
      </w:tr>
      <w:tr>
        <w:trPr>
          <w:trHeight w:val="20"/>
        </w:trPr>
        <w:tc>
          <w:tcPr>
            <w:tcW w:w="9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summarizes the changes in the carrying amount of goodwill by reportable segment: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3"/>
                <w:szCs w:val="13"/>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FLC </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Economic</w:t>
            </w:r>
          </w:p>
        </w:tc>
        <w:tc>
          <w:tcPr>
            <w:tcW w:w="140" w:type="dxa"/>
            <w:vAlign w:val="bottom"/>
          </w:tcPr>
          <w:p>
            <w:pPr>
              <w:spacing w:after="0"/>
              <w:rPr>
                <w:sz w:val="13"/>
                <w:szCs w:val="13"/>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Technology </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Strategic</w:t>
            </w:r>
          </w:p>
        </w:tc>
        <w:tc>
          <w:tcPr>
            <w:tcW w:w="220" w:type="dxa"/>
            <w:vAlign w:val="bottom"/>
          </w:tcPr>
          <w:p>
            <w:pPr>
              <w:spacing w:after="0"/>
              <w:rPr>
                <w:sz w:val="13"/>
                <w:szCs w:val="13"/>
                <w:color w:val="auto"/>
              </w:rPr>
            </w:pPr>
          </w:p>
        </w:tc>
        <w:tc>
          <w:tcPr>
            <w:tcW w:w="90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Finance </w:t>
            </w:r>
            <w:r>
              <w:rPr>
                <w:rFonts w:ascii="Times New Roman" w:cs="Times New Roman" w:eastAsia="Times New Roman" w:hAnsi="Times New Roman"/>
                <w:sz w:val="18"/>
                <w:szCs w:val="18"/>
                <w:b w:val="1"/>
                <w:bCs w:val="1"/>
                <w:color w:val="auto"/>
                <w:vertAlign w:val="superscript"/>
              </w:rPr>
              <w:t>(1)</w:t>
            </w:r>
          </w:p>
        </w:tc>
        <w:tc>
          <w:tcPr>
            <w:tcW w:w="22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Consulting </w:t>
            </w:r>
            <w:r>
              <w:rPr>
                <w:rFonts w:ascii="Times New Roman" w:cs="Times New Roman" w:eastAsia="Times New Roman" w:hAnsi="Times New Roman"/>
                <w:sz w:val="18"/>
                <w:szCs w:val="18"/>
                <w:b w:val="1"/>
                <w:bCs w:val="1"/>
                <w:color w:val="auto"/>
                <w:w w:val="98"/>
                <w:vertAlign w:val="superscript"/>
              </w:rPr>
              <w:t>(1)</w:t>
            </w:r>
          </w:p>
        </w:tc>
        <w:tc>
          <w:tcPr>
            <w:tcW w:w="1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Communications </w:t>
            </w:r>
            <w:r>
              <w:rPr>
                <w:rFonts w:ascii="Times New Roman" w:cs="Times New Roman" w:eastAsia="Times New Roman" w:hAnsi="Times New Roman"/>
                <w:sz w:val="18"/>
                <w:szCs w:val="18"/>
                <w:b w:val="1"/>
                <w:bCs w:val="1"/>
                <w:color w:val="auto"/>
                <w:w w:val="98"/>
                <w:vertAlign w:val="superscript"/>
              </w:rPr>
              <w:t>(2)</w:t>
            </w:r>
          </w:p>
        </w:tc>
        <w:tc>
          <w:tcPr>
            <w:tcW w:w="2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543,243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215,174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268,920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118,553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1,242,777</w:t>
            </w:r>
          </w:p>
        </w:tc>
        <w:tc>
          <w:tcPr>
            <w:tcW w:w="0" w:type="dxa"/>
            <w:vAlign w:val="bottom"/>
          </w:tcPr>
          <w:p>
            <w:pPr>
              <w:spacing w:after="0"/>
              <w:rPr>
                <w:sz w:val="1"/>
                <w:szCs w:val="1"/>
                <w:color w:val="auto"/>
              </w:rPr>
            </w:pPr>
          </w:p>
        </w:tc>
      </w:tr>
      <w:tr>
        <w:trPr>
          <w:trHeight w:val="175"/>
        </w:trPr>
        <w:tc>
          <w:tcPr>
            <w:tcW w:w="3160" w:type="dxa"/>
            <w:vAlign w:val="bottom"/>
            <w:gridSpan w:val="2"/>
          </w:tcPr>
          <w:p>
            <w:pPr>
              <w:ind w:left="220"/>
              <w:spacing w:after="0" w:line="176"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adjustment</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1,239,835</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180" w:type="dxa"/>
            <w:vAlign w:val="bottom"/>
            <w:tcBorders>
              <w:bottom w:val="single" w:sz="8" w:color="auto"/>
            </w:tcBorders>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60" w:right="280" w:hanging="652"/>
        <w:spacing w:after="0" w:line="229" w:lineRule="auto"/>
        <w:tabs>
          <w:tab w:leader="none" w:pos="265"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There were no accumulated impairment losses for the Corporate Finance, FLC, Economic Consulting or Technology segments as of March 31, 2026 and December 31, 2025.</w:t>
      </w:r>
    </w:p>
    <w:p>
      <w:pPr>
        <w:spacing w:after="0" w:line="144" w:lineRule="exact"/>
        <w:rPr>
          <w:rFonts w:ascii="Times New Roman" w:cs="Times New Roman" w:eastAsia="Times New Roman" w:hAnsi="Times New Roman"/>
          <w:sz w:val="23"/>
          <w:szCs w:val="23"/>
          <w:color w:val="auto"/>
          <w:vertAlign w:val="superscript"/>
        </w:rPr>
      </w:pPr>
    </w:p>
    <w:p>
      <w:pPr>
        <w:ind w:left="660" w:right="440" w:hanging="652"/>
        <w:spacing w:after="0" w:line="229" w:lineRule="auto"/>
        <w:tabs>
          <w:tab w:leader="none" w:pos="265"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for our Strategic Communications segment include gross carrying values of $311.4 million and $312.7 million as of March 31, 2026 and December 31, 2025, respectively, and accumulated impairment losses of $194.1 million as of March 31, 2026 and December 31, 2025.</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Intangible assets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59"/>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39"/>
              <w:spacing w:after="0" w:line="131"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5"/>
        </w:trPr>
        <w:tc>
          <w:tcPr>
            <w:tcW w:w="2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02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8"/>
        </w:trPr>
        <w:tc>
          <w:tcPr>
            <w:tcW w:w="3240" w:type="dxa"/>
            <w:vAlign w:val="bottom"/>
            <w:tcBorders>
              <w:top w:val="single" w:sz="8" w:color="CCEEFF"/>
            </w:tcBorders>
            <w:gridSpan w:val="2"/>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Amortizing intangible assets </w:t>
            </w:r>
            <w:r>
              <w:rPr>
                <w:rFonts w:ascii="Times New Roman" w:cs="Times New Roman" w:eastAsia="Times New Roman" w:hAnsi="Times New Roman"/>
                <w:sz w:val="23"/>
                <w:szCs w:val="23"/>
                <w:color w:val="auto"/>
                <w:vertAlign w:val="superscript"/>
              </w:rPr>
              <w:t>(1)</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7,922</w:t>
            </w:r>
          </w:p>
        </w:tc>
        <w:tc>
          <w:tcPr>
            <w:tcW w:w="0" w:type="dxa"/>
            <w:vAlign w:val="bottom"/>
          </w:tcPr>
          <w:p>
            <w:pPr>
              <w:spacing w:after="0"/>
              <w:rPr>
                <w:sz w:val="1"/>
                <w:szCs w:val="1"/>
                <w:color w:val="auto"/>
              </w:rPr>
            </w:pPr>
          </w:p>
        </w:tc>
      </w:tr>
      <w:tr>
        <w:trPr>
          <w:trHeight w:val="230"/>
        </w:trPr>
        <w:tc>
          <w:tcPr>
            <w:tcW w:w="32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Non-amortizing intangible assets </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0" w:type="dxa"/>
            <w:vAlign w:val="bottom"/>
          </w:tcPr>
          <w:p>
            <w:pPr>
              <w:spacing w:after="0"/>
              <w:rPr>
                <w:sz w:val="1"/>
                <w:szCs w:val="1"/>
                <w:color w:val="auto"/>
              </w:rPr>
            </w:pPr>
          </w:p>
        </w:tc>
      </w:tr>
      <w:tr>
        <w:trPr>
          <w:trHeight w:val="248"/>
        </w:trPr>
        <w:tc>
          <w:tcPr>
            <w:tcW w:w="324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13,547</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180" w:type="dxa"/>
            <w:vAlign w:val="bottom"/>
            <w:tcBorders>
              <w:bottom w:val="single" w:sz="8" w:color="auto"/>
            </w:tcBorders>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Amortizing intangible assets primarily include customer relationships as of March 31, 2026 and December 31, 2025.</w:t>
      </w:r>
    </w:p>
    <w:p>
      <w:pPr>
        <w:spacing w:after="0" w:line="113" w:lineRule="exact"/>
        <w:rPr>
          <w:rFonts w:ascii="Times New Roman" w:cs="Times New Roman" w:eastAsia="Times New Roman" w:hAnsi="Times New Roman"/>
          <w:sz w:val="23"/>
          <w:szCs w:val="23"/>
          <w:color w:val="auto"/>
          <w:vertAlign w:val="superscript"/>
        </w:rPr>
      </w:pPr>
    </w:p>
    <w:p>
      <w:pPr>
        <w:ind w:left="260" w:hanging="252"/>
        <w:spacing w:after="0"/>
        <w:tabs>
          <w:tab w:leader="none" w:pos="26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Non-amortizing intangible assets include trademarks as of March 31, 2026 and December 31, 2025.</w:t>
      </w:r>
    </w:p>
    <w:p>
      <w:pPr>
        <w:spacing w:after="0" w:line="144"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Intangible assets with finite lives are amortized over their estimated useful lives. We recorded amortization expense of $0.6 million and $1.0 million during the three months ended March 31, 2026 and 2025,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75"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Our second amended and restated credit agreement (the “Credit Agreement”) governing our senior unsecured bank revolving credit facility (the “Revolving Credit Facility”) has a revolving line of credit limit of $900.0 million and an incremental facility allowing for increases of up to $300.0 million, plus additional amounts, subject to certain conditions, which was exercised in connection with the Incremental Term Loan (as defined below). Our Revolving Credit Facility is unsecured, based on the Company’s investment grade credit rating, with only unsecured guarantees being provided by substantially all of our wholly owned domestic subsidiaries. On March 17, 2026, we entered into an incremental amendment to our Credit Agreement (the “Incremental Amendment”) which provides for a term loan in the aggregate amount of $300.0 million (the “Incremental Term Loan”). The Incremental Term Loan matures on March 17, 2029, and requires the Company to pay customary fees and expenses.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 w:name="page11"/>
    <w:bookmarkEnd w:id="10"/>
    <w:p>
      <w:pPr>
        <w:ind w:left="500"/>
        <w:spacing w:after="0"/>
        <w:rPr>
          <w:sz w:val="20"/>
          <w:szCs w:val="20"/>
          <w:color w:val="auto"/>
        </w:rPr>
      </w:pPr>
      <w:r>
        <w:rPr>
          <w:rFonts w:ascii="Times New Roman" w:cs="Times New Roman" w:eastAsia="Times New Roman" w:hAnsi="Times New Roman"/>
          <w:sz w:val="18"/>
          <w:szCs w:val="18"/>
          <w:color w:val="auto"/>
        </w:rPr>
        <w:t>The table below presents the components of our debt: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2180" w:type="dxa"/>
            <w:vAlign w:val="bottom"/>
            <w:tcBorders>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365,000</w:t>
            </w:r>
          </w:p>
        </w:tc>
      </w:tr>
      <w:tr>
        <w:trPr>
          <w:trHeight w:val="230"/>
        </w:trPr>
        <w:tc>
          <w:tcPr>
            <w:tcW w:w="8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Incremental Term Loan</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365,000</w:t>
            </w:r>
          </w:p>
        </w:tc>
      </w:tr>
      <w:tr>
        <w:trPr>
          <w:trHeight w:val="230"/>
        </w:trPr>
        <w:tc>
          <w:tcPr>
            <w:tcW w:w="8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deferred debt issuance costs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000" w:type="dxa"/>
            <w:vAlign w:val="bottom"/>
            <w:tcBorders>
              <w:bottom w:val="single" w:sz="8" w:color="CCEEFF"/>
            </w:tcBorders>
            <w:gridSpan w:val="2"/>
            <w:shd w:val="clear" w:color="auto" w:fill="CCEEFF"/>
          </w:tcPr>
          <w:p>
            <w:pPr>
              <w:ind w:left="2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Long-term debt, net </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754,257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365,000</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23"/>
        </w:trPr>
        <w:tc>
          <w:tcPr>
            <w:tcW w:w="2180" w:type="dxa"/>
            <w:vAlign w:val="bottom"/>
            <w:tcBorders>
              <w:bottom w:val="single" w:sz="8" w:color="auto"/>
            </w:tcBorders>
          </w:tcPr>
          <w:p>
            <w:pPr>
              <w:spacing w:after="0"/>
              <w:rPr>
                <w:sz w:val="10"/>
                <w:szCs w:val="10"/>
                <w:color w:val="auto"/>
              </w:rPr>
            </w:pPr>
          </w:p>
        </w:tc>
        <w:tc>
          <w:tcPr>
            <w:tcW w:w="5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tcPr>
          <w:p>
            <w:pPr>
              <w:spacing w:after="0"/>
              <w:rPr>
                <w:sz w:val="10"/>
                <w:szCs w:val="10"/>
                <w:color w:val="auto"/>
              </w:rPr>
            </w:pPr>
          </w:p>
        </w:tc>
      </w:tr>
    </w:tbl>
    <w:p>
      <w:pPr>
        <w:spacing w:after="0" w:line="63" w:lineRule="exact"/>
        <w:rPr>
          <w:sz w:val="20"/>
          <w:szCs w:val="20"/>
          <w:color w:val="auto"/>
        </w:rPr>
      </w:pPr>
    </w:p>
    <w:p>
      <w:pPr>
        <w:ind w:left="660" w:right="40" w:hanging="652"/>
        <w:spacing w:after="0" w:line="235" w:lineRule="auto"/>
        <w:tabs>
          <w:tab w:leader="none" w:pos="648" w:val="left"/>
        </w:tabs>
        <w:numPr>
          <w:ilvl w:val="0"/>
          <w:numId w:val="6"/>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There were no current portions of long-term debt as of March 31, 2026 and December 31, 2025. The Company classified the borrowings under the Revolving Credit Facility as long-term debt in the accompanying Condensed Consolidated Balance Sheets, as we have the intent and unilateral ability to refinance any borrowings on a continuous basis through the maturity of the Revolving Credit Facility on November 21, 2027.</w:t>
      </w:r>
    </w:p>
    <w:p>
      <w:pPr>
        <w:spacing w:after="0" w:line="146" w:lineRule="exact"/>
        <w:rPr>
          <w:sz w:val="20"/>
          <w:szCs w:val="20"/>
          <w:color w:val="auto"/>
        </w:rPr>
      </w:pPr>
    </w:p>
    <w:p>
      <w:pPr>
        <w:ind w:right="40" w:firstLine="486"/>
        <w:spacing w:after="0" w:line="272" w:lineRule="auto"/>
        <w:rPr>
          <w:sz w:val="20"/>
          <w:szCs w:val="20"/>
          <w:color w:val="auto"/>
        </w:rPr>
      </w:pPr>
      <w:r>
        <w:rPr>
          <w:rFonts w:ascii="Times New Roman" w:cs="Times New Roman" w:eastAsia="Times New Roman" w:hAnsi="Times New Roman"/>
          <w:sz w:val="17"/>
          <w:szCs w:val="17"/>
          <w:color w:val="auto"/>
        </w:rPr>
        <w:t>Borrowings under the Revolving Credit Facility bear interest at a rate equal to, in the case of: (i) U.S. dollars (“USD”), at our option, Adjusted Term Secured Overnight Financing Rate (“SOFR”) or Adjusted Daily Simple SOFR, (ii) euros, Euro Interbank Offered Rate, (iii) British pounds, Sterling Overnight Index Average Reference Rate, (iv) Australian dollars, Bank Bill Swap Reference Bid Rate, (v) Canadian dollars, Canadian Dollar Offered Rate,</w:t>
      </w:r>
    </w:p>
    <w:p>
      <w:pPr>
        <w:spacing w:after="0" w:line="2" w:lineRule="exact"/>
        <w:rPr>
          <w:sz w:val="20"/>
          <w:szCs w:val="20"/>
          <w:color w:val="auto"/>
        </w:rPr>
      </w:pPr>
    </w:p>
    <w:p>
      <w:pPr>
        <w:ind w:right="40" w:firstLine="8"/>
        <w:spacing w:after="0" w:line="252" w:lineRule="auto"/>
        <w:tabs>
          <w:tab w:leader="none" w:pos="3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Swiss francs, Swiss Average Rate Overnight, and (vii) Japanese yen, Tokyo Interbank Offered Rate, in each case, plus an applicable margin that will fluctuate between 1.25% per annum and 2.00% per annum based upon the Company’s Consolidated Total Net Leverage Ratio (as defined in the Credit Agreement) at such time or, in the case of USD borrowings, an alternative base rate plus an applicable margin that will fluctuate between 0.25% per annum and 1.00% per annum based upon the Company’s Consolidated Total Net Leverage Ratio at such time. The alternative base rate is a fluctuating rate per annum equal to the highest of (1) the Federal Funds rate (as defined in the Credit Agreement) plus the sum of 50 basis points, (2) the rate of interest in effect for such day as the prime rate announced by Bank of America, and (3) the one-month Adjusted Term SOFR plus 100 basis points.</w:t>
      </w:r>
    </w:p>
    <w:p>
      <w:pPr>
        <w:spacing w:after="0" w:line="136" w:lineRule="exact"/>
        <w:rPr>
          <w:sz w:val="20"/>
          <w:szCs w:val="20"/>
          <w:color w:val="auto"/>
        </w:rPr>
      </w:pPr>
    </w:p>
    <w:p>
      <w:pPr>
        <w:ind w:right="120" w:firstLine="486"/>
        <w:spacing w:after="0" w:line="312" w:lineRule="auto"/>
        <w:rPr>
          <w:sz w:val="20"/>
          <w:szCs w:val="20"/>
          <w:color w:val="auto"/>
        </w:rPr>
      </w:pPr>
      <w:r>
        <w:rPr>
          <w:rFonts w:ascii="Times New Roman" w:cs="Times New Roman" w:eastAsia="Times New Roman" w:hAnsi="Times New Roman"/>
          <w:sz w:val="17"/>
          <w:szCs w:val="17"/>
          <w:color w:val="auto"/>
        </w:rPr>
        <w:t>Under the Revolving Credit Facility, we are required to pay a commitment fee rate that fluctuates between 0.20% and 0.35% per annum and a letter of credit fee rate that fluctuates between 1.25% and 2.00% per annum, in each case, based upon the Company’s Consolidated Total Net Leverage Ratio.</w:t>
      </w:r>
    </w:p>
    <w:p>
      <w:pPr>
        <w:spacing w:after="0" w:line="86" w:lineRule="exact"/>
        <w:rPr>
          <w:sz w:val="20"/>
          <w:szCs w:val="20"/>
          <w:color w:val="auto"/>
        </w:rPr>
      </w:pPr>
    </w:p>
    <w:p>
      <w:pPr>
        <w:ind w:right="440" w:firstLine="486"/>
        <w:spacing w:after="0" w:line="266" w:lineRule="auto"/>
        <w:rPr>
          <w:sz w:val="20"/>
          <w:szCs w:val="20"/>
          <w:color w:val="auto"/>
        </w:rPr>
      </w:pPr>
      <w:r>
        <w:rPr>
          <w:rFonts w:ascii="Times New Roman" w:cs="Times New Roman" w:eastAsia="Times New Roman" w:hAnsi="Times New Roman"/>
          <w:sz w:val="18"/>
          <w:szCs w:val="18"/>
          <w:color w:val="auto"/>
        </w:rPr>
        <w:t>The Incremental Term Loan bears interest, at the Company’s option, at either the SOFR (plus a credit spread adjustment of 0.10%) or the “base rate,” (as defined in the Incremental Amendment) in each case, plus an applicable margin (at the ranges described above) based on the Company’s Consolidated Total Net Leverage Ratio.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75"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We lease office space and equipment under non-cancelable operating leases. The table below summarizes the carrying amount of our operating lease assets and liabilities: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0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4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3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 assets</w:t>
            </w:r>
          </w:p>
        </w:tc>
        <w:tc>
          <w:tcPr>
            <w:tcW w:w="4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201,492</w:t>
            </w:r>
          </w:p>
        </w:tc>
        <w:tc>
          <w:tcPr>
            <w:tcW w:w="0" w:type="dxa"/>
            <w:vAlign w:val="bottom"/>
          </w:tcPr>
          <w:p>
            <w:pPr>
              <w:spacing w:after="0"/>
              <w:rPr>
                <w:sz w:val="1"/>
                <w:szCs w:val="1"/>
                <w:color w:val="auto"/>
              </w:rPr>
            </w:pPr>
          </w:p>
        </w:tc>
      </w:tr>
      <w:tr>
        <w:trPr>
          <w:trHeight w:val="248"/>
        </w:trPr>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assets</w:t>
            </w:r>
          </w:p>
        </w:tc>
        <w:tc>
          <w:tcPr>
            <w:tcW w:w="4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201,492</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380" w:type="dxa"/>
            <w:vAlign w:val="bottom"/>
            <w:gridSpan w:val="2"/>
            <w:vMerge w:val="continue"/>
          </w:tcPr>
          <w:p>
            <w:pPr>
              <w:spacing w:after="0"/>
              <w:rPr>
                <w:sz w:val="15"/>
                <w:szCs w:val="15"/>
                <w:color w:val="auto"/>
              </w:rPr>
            </w:pPr>
          </w:p>
        </w:tc>
        <w:tc>
          <w:tcPr>
            <w:tcW w:w="4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37,211</w:t>
            </w:r>
          </w:p>
        </w:tc>
        <w:tc>
          <w:tcPr>
            <w:tcW w:w="0" w:type="dxa"/>
            <w:vAlign w:val="bottom"/>
          </w:tcPr>
          <w:p>
            <w:pPr>
              <w:spacing w:after="0"/>
              <w:rPr>
                <w:sz w:val="1"/>
                <w:szCs w:val="1"/>
                <w:color w:val="auto"/>
              </w:rPr>
            </w:pPr>
          </w:p>
        </w:tc>
      </w:tr>
      <w:tr>
        <w:trPr>
          <w:trHeight w:val="229"/>
        </w:trPr>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4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224,510</w:t>
            </w:r>
          </w:p>
        </w:tc>
        <w:tc>
          <w:tcPr>
            <w:tcW w:w="0" w:type="dxa"/>
            <w:vAlign w:val="bottom"/>
          </w:tcPr>
          <w:p>
            <w:pPr>
              <w:spacing w:after="0"/>
              <w:rPr>
                <w:sz w:val="1"/>
                <w:szCs w:val="1"/>
                <w:color w:val="auto"/>
              </w:rPr>
            </w:pPr>
          </w:p>
        </w:tc>
      </w:tr>
      <w:tr>
        <w:trPr>
          <w:trHeight w:val="248"/>
        </w:trPr>
        <w:tc>
          <w:tcPr>
            <w:tcW w:w="3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4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261,721</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ind w:left="500"/>
        <w:spacing w:after="0"/>
        <w:rPr>
          <w:sz w:val="20"/>
          <w:szCs w:val="20"/>
          <w:color w:val="auto"/>
        </w:rPr>
      </w:pPr>
      <w:r>
        <w:rPr>
          <w:rFonts w:ascii="Times New Roman" w:cs="Times New Roman" w:eastAsia="Times New Roman" w:hAnsi="Times New Roman"/>
          <w:sz w:val="18"/>
          <w:szCs w:val="18"/>
          <w:color w:val="auto"/>
        </w:rPr>
        <w:t>The table below summarizes total lease costs: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Lease Cost</w:t>
            </w: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12,608</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Variable lease costs and 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0" w:type="dxa"/>
            <w:vAlign w:val="bottom"/>
          </w:tcPr>
          <w:p>
            <w:pPr>
              <w:spacing w:after="0"/>
              <w:rPr>
                <w:sz w:val="1"/>
                <w:szCs w:val="1"/>
                <w:color w:val="auto"/>
              </w:rPr>
            </w:pPr>
          </w:p>
        </w:tc>
      </w:tr>
      <w:tr>
        <w:trPr>
          <w:trHeight w:val="248"/>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cost,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17,363</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The maturity analysis below summarizes the remaining future undiscounted cash flows for our operating leases and includes a reconciliation to operating lease liabilities reported on the Condensed Consolidated Balance Sheets: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96"/>
        </w:trPr>
        <w:tc>
          <w:tcPr>
            <w:tcW w:w="96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(remaining)</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42,914</w:t>
            </w:r>
          </w:p>
        </w:tc>
      </w:tr>
      <w:tr>
        <w:trPr>
          <w:trHeight w:val="23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53,649</w:t>
            </w: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45,376</w:t>
            </w:r>
          </w:p>
        </w:tc>
      </w:tr>
      <w:tr>
        <w:trPr>
          <w:trHeight w:val="229"/>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34,853</w:t>
            </w: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29,534</w:t>
            </w:r>
          </w:p>
        </w:tc>
      </w:tr>
      <w:tr>
        <w:trPr>
          <w:trHeight w:val="229"/>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107,542</w:t>
            </w:r>
          </w:p>
        </w:tc>
      </w:tr>
      <w:tr>
        <w:trPr>
          <w:trHeight w:val="223"/>
        </w:trPr>
        <w:tc>
          <w:tcPr>
            <w:tcW w:w="9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313,868</w:t>
            </w:r>
          </w:p>
        </w:tc>
      </w:tr>
      <w:tr>
        <w:trPr>
          <w:trHeight w:val="229"/>
        </w:trPr>
        <w:tc>
          <w:tcPr>
            <w:tcW w:w="96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(61,134)</w:t>
            </w:r>
          </w:p>
        </w:tc>
      </w:tr>
      <w:tr>
        <w:trPr>
          <w:trHeight w:val="248"/>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252,734</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The table below includes cash paid for our operating lease liabilities, other non-cash information, our weighted average remaining lease term and weighted average discount rate: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180" w:type="dxa"/>
            <w:vAlign w:val="bottom"/>
            <w:gridSpan w:val="5"/>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0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6"/>
        </w:trPr>
        <w:tc>
          <w:tcPr>
            <w:tcW w:w="80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0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2"/>
              </w:rPr>
              <w:t>14,158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14,214</w:t>
            </w:r>
          </w:p>
        </w:tc>
      </w:tr>
      <w:tr>
        <w:trPr>
          <w:trHeight w:val="257"/>
        </w:trPr>
        <w:tc>
          <w:tcPr>
            <w:tcW w:w="80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 obtained in exchange for lease liabilities</w:t>
            </w: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369</w:t>
            </w:r>
          </w:p>
        </w:tc>
      </w:tr>
      <w:tr>
        <w:trPr>
          <w:trHeight w:val="256"/>
        </w:trPr>
        <w:tc>
          <w:tcPr>
            <w:tcW w:w="80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(years)</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56"/>
        </w:trPr>
        <w:tc>
          <w:tcPr>
            <w:tcW w:w="80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75"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We are subject to legal actions arising in the ordinary course of business. In management’s opinion, we believe we have adequate legal defenses and/or insurance coverage with respect to the eventuality of such actions. We are not aware of any asserted or unasserted legal proceedings or claims that we believe would have a material adverse effect on our financial condition or our results of operations. During the three months ended March 31, 2025, the Company recognized gain contingencies at the conclusion of certain legal actions. These amounts are included as a gain in “Selling, general and administrative (“SG&amp;A”) expenses” on our Condensed Consolidated Statements of Comprehensive Income.</w:t>
      </w:r>
    </w:p>
    <w:p>
      <w:pPr>
        <w:spacing w:after="0" w:line="12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As of March 31, 2026 and December 31, 2025, we were contingently liable under bank guarantees issued in favor of third parties that totaled $18.3 million and $17.5 million, respectively. These bank guarantees primarily support bid and performance obligations and operating leases for office space. The amounts are guaranteed under guarantee facilities totaling $37.2 million and $32.5 million as of March 31, 2026 and December 31, 2025, respectively. We had $18.9 million and $15.0 million available under the guarantee facilities as of March 31, 2026 and December 31, 2025, respectively. These bank guarantees are issued separately from our Revolving Credit Facility and, as a result, do not affect available borrowing capacity under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11. Share-Based Compensation</w:t>
      </w:r>
    </w:p>
    <w:p>
      <w:pPr>
        <w:spacing w:after="0" w:line="175"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we granted equity awards of 38,362 restricted shares, 45,646 restricted stock units and 94,899 performance stock units under the FTI Consulting, Inc. 2017 Omnibus Incentive Compensation Plan, as amended, our employee equity compensation plan. Our performance stock units are presented at the maximum potential payout percentage of 150% of target shares granted. These awards are recorded as equity on the Condensed Consolidated Balance Sheets. During the three months ended March 31, 2026, 4,398 shares of restricted stock and 10,053 restricted stock units were forfeited prior to the completion of the applicable vesting requirements. Additionally, 41,843 performance stock units were forfeited during the three months ended March 31, 2026, including award targets that were not achieved.</w:t>
      </w:r>
    </w:p>
    <w:p>
      <w:pPr>
        <w:spacing w:after="0" w:line="1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share-based compensation expense, net of forfeitures, is detailed in the following table: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Statement Classification</w:t>
            </w: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cost of revenues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8,062</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0" w:type="dxa"/>
            <w:vAlign w:val="bottom"/>
          </w:tcPr>
          <w:p>
            <w:pPr>
              <w:spacing w:after="0"/>
              <w:rPr>
                <w:sz w:val="1"/>
                <w:szCs w:val="1"/>
                <w:color w:val="auto"/>
              </w:rPr>
            </w:pPr>
          </w:p>
        </w:tc>
      </w:tr>
      <w:tr>
        <w:trPr>
          <w:trHeight w:val="248"/>
        </w:trPr>
        <w:tc>
          <w:tcPr>
            <w:tcW w:w="83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share-based compensation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9,306</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75"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On June 2, 2016, our Board of Directors authorized a stock repurchase program (the “Repurchase Program”), which was most recently increased by $500.0 million to an aggregate authorization of $2.2 billion on October 21, 2025. No time limit has been established for the completion of the Repurchase Program, and the Repurchase Program may be suspended, discontinued or replaced by the Board of Directors at any time without prior notice. As of March 31, 2026, we had $364.9 million available under the Repurchase Program to repurchase additional shares of our common stock.</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details our stock repurchases under the Repurchase Program:</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8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of common stock repurchased and retired</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r>
      <w:tr>
        <w:trPr>
          <w:trHeight w:val="230"/>
        </w:trPr>
        <w:tc>
          <w:tcPr>
            <w:tcW w:w="8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Average price paid per share </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165.15</w:t>
            </w:r>
          </w:p>
        </w:tc>
      </w:tr>
      <w:tr>
        <w:trPr>
          <w:trHeight w:val="230"/>
        </w:trPr>
        <w:tc>
          <w:tcPr>
            <w:tcW w:w="8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cost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3798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2"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commissions and excise tax of $1.4 million and $1.5 million incurred during the three months ended March 31, 2026 and 2025, respectively.</w:t>
      </w:r>
    </w:p>
    <w:p>
      <w:pPr>
        <w:spacing w:after="0" w:line="144" w:lineRule="exact"/>
        <w:rPr>
          <w:sz w:val="20"/>
          <w:szCs w:val="20"/>
          <w:color w:val="auto"/>
        </w:rPr>
      </w:pPr>
    </w:p>
    <w:p>
      <w:pPr>
        <w:ind w:right="380" w:firstLine="486"/>
        <w:spacing w:after="0" w:line="266" w:lineRule="auto"/>
        <w:rPr>
          <w:sz w:val="20"/>
          <w:szCs w:val="20"/>
          <w:color w:val="auto"/>
        </w:rPr>
      </w:pPr>
      <w:r>
        <w:rPr>
          <w:rFonts w:ascii="Times New Roman" w:cs="Times New Roman" w:eastAsia="Times New Roman" w:hAnsi="Times New Roman"/>
          <w:sz w:val="18"/>
          <w:szCs w:val="18"/>
          <w:color w:val="auto"/>
        </w:rPr>
        <w:t>As we repurchase our common shares, we reduce stated capital on our Condensed Consolidated Balance Sheets for the $0.01 of par value of the shares repurchased, with the excess purchase price over par value recorded as a reduction to additional paid-in capital. If additional paid-in capital is reduced to zero, we record the remainder of the excess purchase price over par value as a reduction of retained earnings.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Outstanding</w:t>
      </w:r>
    </w:p>
    <w:p>
      <w:pPr>
        <w:spacing w:after="0" w:line="175" w:lineRule="exact"/>
        <w:rPr>
          <w:sz w:val="20"/>
          <w:szCs w:val="20"/>
          <w:color w:val="auto"/>
        </w:rPr>
      </w:pPr>
    </w:p>
    <w:p>
      <w:pPr>
        <w:ind w:right="360" w:firstLine="486"/>
        <w:spacing w:after="0" w:line="266" w:lineRule="auto"/>
        <w:rPr>
          <w:sz w:val="20"/>
          <w:szCs w:val="20"/>
          <w:color w:val="auto"/>
        </w:rPr>
      </w:pPr>
      <w:r>
        <w:rPr>
          <w:rFonts w:ascii="Times New Roman" w:cs="Times New Roman" w:eastAsia="Times New Roman" w:hAnsi="Times New Roman"/>
          <w:sz w:val="18"/>
          <w:szCs w:val="18"/>
          <w:color w:val="auto"/>
        </w:rPr>
        <w:t>Common stock outstanding was approximately 30.1 million shares and 30.9 million shares as of March 31, 2026 and December 31, 2025, respectively. Common stock outstanding includes unvested restricted stock awards, which are considered issued and outstanding under the terms of the restricted stock award agreements.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manage our business in five reportable segments: Corporate Finance, FLC, Economic Consulting, Technology and Strategic Communications.</w:t>
      </w:r>
    </w:p>
    <w:p>
      <w:pPr>
        <w:spacing w:after="0" w:line="171"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Our Corporate Finance segment focuses on the strategic, operational, financial, transactional and capital needs of our clients around the world. Our clients include companies, boards of directors, investors, private equity sponsors, lenders, and other financing sources and creditor groups, governments and other interested parties. We deliver a wide range of services centered around three core offerings: Transactions, Transformation and Turnaround &amp; Restructuring.</w:t>
      </w:r>
    </w:p>
    <w:p>
      <w:pPr>
        <w:spacing w:after="0" w:line="126" w:lineRule="exact"/>
        <w:rPr>
          <w:sz w:val="20"/>
          <w:szCs w:val="20"/>
          <w:color w:val="auto"/>
        </w:rPr>
      </w:pPr>
    </w:p>
    <w:p>
      <w:pPr>
        <w:ind w:right="240" w:firstLine="486"/>
        <w:spacing w:after="0" w:line="258" w:lineRule="auto"/>
        <w:rPr>
          <w:sz w:val="20"/>
          <w:szCs w:val="20"/>
          <w:color w:val="auto"/>
        </w:rPr>
      </w:pPr>
      <w:r>
        <w:rPr>
          <w:rFonts w:ascii="Times New Roman" w:cs="Times New Roman" w:eastAsia="Times New Roman" w:hAnsi="Times New Roman"/>
          <w:sz w:val="18"/>
          <w:szCs w:val="18"/>
          <w:color w:val="auto"/>
        </w:rPr>
        <w:t>Our FLC segment provides law firms, companies, boards of directors, government entities, private equity firms and other interested parties with a multidisciplinary and independent range of services across risk &amp; investigations and disputes, supported by our data &amp; analytics technology-enabled solutions, with a focus on highly regulated industries. Our services are centered around five core offerings: Construction, Projects &amp; Assets and Environmental Solutions, Data &amp; Analytics, Dispute Advisory Services, Healthcare Risk Management &amp; Advisory and Risk &amp; Investigations, which includes our cybersecurity and financial services-related offerings.</w:t>
      </w:r>
    </w:p>
    <w:p>
      <w:pPr>
        <w:spacing w:after="0" w:line="129" w:lineRule="exact"/>
        <w:rPr>
          <w:sz w:val="20"/>
          <w:szCs w:val="20"/>
          <w:color w:val="auto"/>
        </w:rPr>
      </w:pPr>
    </w:p>
    <w:p>
      <w:pPr>
        <w:jc w:val="both"/>
        <w:ind w:right="360" w:firstLine="486"/>
        <w:spacing w:after="0" w:line="261" w:lineRule="auto"/>
        <w:rPr>
          <w:sz w:val="20"/>
          <w:szCs w:val="20"/>
          <w:color w:val="auto"/>
        </w:rPr>
      </w:pPr>
      <w:r>
        <w:rPr>
          <w:rFonts w:ascii="Times New Roman" w:cs="Times New Roman" w:eastAsia="Times New Roman" w:hAnsi="Times New Roman"/>
          <w:sz w:val="18"/>
          <w:szCs w:val="18"/>
          <w:color w:val="auto"/>
        </w:rPr>
        <w:t>Our Economic Consulting segment, including subsidiary Compass Lexecon LLC, provides law firms, companies, government entities and other interested parties with analyses of complex economic issues for use in international arbitration, legal and regulatory proceedings and strategic decision making and public policy debates around the world. We deliver a wide range of services centered around three core offerings: Antitrust &amp; Competition Economics, Financial Economics and International Arbitration.</w:t>
      </w:r>
    </w:p>
    <w:p>
      <w:pPr>
        <w:spacing w:after="0" w:line="126"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Our Technology segment provides companies, law firms, private equity firms and government entities with a comprehensive global portfolio of digital insights and risk management, artificial intelligence (“AI”) and data services. Our professionals help organizations better address risk as the growing volume and variety of enterprise and emerging data intersects with legal, regulatory and compliance needs. We deliver a wide range of expert and AI-powered solutions driven by five core client needs: Blockchain &amp; Digital Assets, Information Governance, Privacy &amp; Security, Investigations, Litigation, and M&amp;A, Antitrust and Competition.</w:t>
      </w:r>
    </w:p>
    <w:p>
      <w:pPr>
        <w:spacing w:after="0" w:line="12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Our Strategic Communications segment develops and executes communications strategies to help management teams, boards of directors, law firms, governments and regulators manage change and mitigate risk surrounding transformational and disruptive events, including crises, transactions, investigations, disputes, regulation and legislation. We deliver a wide range of services centered around three core offerings: Corporate Reputation, Financial Communications and Public Affairs.</w:t>
      </w:r>
    </w:p>
    <w:p>
      <w:pPr>
        <w:spacing w:after="0" w:line="126"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We have considered information that is regularly provided to our Chief Executive Officer, who is our chief operating decision maker (“CODM”), for our segment reporting disclosure. Our CODM assesses the performance and allocates resources to each segment based on revenues and multiple measures of segment profit, including gross profit, which is the measure closest to GAAP reporting principles. Gross profit is defined as revenues less direct costs of revenues. Our CODM uses gross profit (i) to evaluate reportable segment performance against budgets, forecasts and strategies and (ii) to make strategic decisions regarding resource allocation, such as billable headcount and related compensation costs, as well as utilization and bill rates of our service offerings. Our CODM is not provided asset information by reportable segment.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4" w:name="page15"/>
    <w:bookmarkEnd w:id="14"/>
    <w:p>
      <w:pPr>
        <w:ind w:left="500"/>
        <w:spacing w:after="0"/>
        <w:rPr>
          <w:sz w:val="20"/>
          <w:szCs w:val="20"/>
          <w:color w:val="auto"/>
        </w:rPr>
      </w:pPr>
      <w:r>
        <w:rPr>
          <w:rFonts w:ascii="Times New Roman" w:cs="Times New Roman" w:eastAsia="Times New Roman" w:hAnsi="Times New Roman"/>
          <w:sz w:val="18"/>
          <w:szCs w:val="18"/>
          <w:color w:val="auto"/>
        </w:rPr>
        <w:t>The tables below summarize revenues, significant expenses and gross profit by reportable segment: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6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220" w:type="dxa"/>
            <w:vAlign w:val="bottom"/>
          </w:tcPr>
          <w:p>
            <w:pPr>
              <w:spacing w:after="0"/>
              <w:rPr>
                <w:sz w:val="13"/>
                <w:szCs w:val="13"/>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FLC</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Economic</w:t>
            </w:r>
          </w:p>
        </w:tc>
        <w:tc>
          <w:tcPr>
            <w:tcW w:w="160" w:type="dxa"/>
            <w:vAlign w:val="bottom"/>
          </w:tcPr>
          <w:p>
            <w:pPr>
              <w:spacing w:after="0"/>
              <w:rPr>
                <w:sz w:val="13"/>
                <w:szCs w:val="13"/>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8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Strategic</w:t>
            </w:r>
          </w:p>
        </w:tc>
        <w:tc>
          <w:tcPr>
            <w:tcW w:w="240" w:type="dxa"/>
            <w:vAlign w:val="bottom"/>
          </w:tcPr>
          <w:p>
            <w:pPr>
              <w:spacing w:after="0"/>
              <w:rPr>
                <w:sz w:val="13"/>
                <w:szCs w:val="13"/>
                <w:color w:val="auto"/>
              </w:rPr>
            </w:pPr>
          </w:p>
        </w:tc>
        <w:tc>
          <w:tcPr>
            <w:tcW w:w="8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9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Communications</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8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409,502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192,878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175,648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102,323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102,994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983,345</w:t>
            </w:r>
          </w:p>
        </w:tc>
        <w:tc>
          <w:tcPr>
            <w:tcW w:w="0" w:type="dxa"/>
            <w:vAlign w:val="bottom"/>
          </w:tcPr>
          <w:p>
            <w:pPr>
              <w:spacing w:after="0"/>
              <w:rPr>
                <w:sz w:val="1"/>
                <w:szCs w:val="1"/>
                <w:color w:val="auto"/>
              </w:rPr>
            </w:pPr>
          </w:p>
        </w:tc>
      </w:tr>
      <w:tr>
        <w:trPr>
          <w:trHeight w:val="230"/>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Direct costs</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gridSpan w:val="3"/>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Compensation expenses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596,742</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CCEEFF"/>
            </w:tcBorders>
            <w:gridSpan w:val="3"/>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79,776</w:t>
            </w: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262,435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127,413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155,075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676,518</w:t>
            </w:r>
          </w:p>
        </w:tc>
        <w:tc>
          <w:tcPr>
            <w:tcW w:w="0" w:type="dxa"/>
            <w:vAlign w:val="bottom"/>
          </w:tcPr>
          <w:p>
            <w:pPr>
              <w:spacing w:after="0"/>
              <w:rPr>
                <w:sz w:val="1"/>
                <w:szCs w:val="1"/>
                <w:color w:val="auto"/>
              </w:rPr>
            </w:pPr>
          </w:p>
        </w:tc>
      </w:tr>
      <w:tr>
        <w:trPr>
          <w:trHeight w:val="223"/>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Segment gross profit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147,067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65,465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33,307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40,415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306,827</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0"/>
        </w:trPr>
        <w:tc>
          <w:tcPr>
            <w:tcW w:w="3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60" w:type="dxa"/>
            <w:vAlign w:val="bottom"/>
          </w:tcPr>
          <w:p>
            <w:pPr>
              <w:spacing w:after="0"/>
              <w:rPr>
                <w:sz w:val="24"/>
                <w:szCs w:val="24"/>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220" w:type="dxa"/>
            <w:vAlign w:val="bottom"/>
          </w:tcPr>
          <w:p>
            <w:pPr>
              <w:spacing w:after="0"/>
              <w:rPr>
                <w:sz w:val="24"/>
                <w:szCs w:val="24"/>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FLC</w:t>
            </w:r>
          </w:p>
        </w:tc>
        <w:tc>
          <w:tcPr>
            <w:tcW w:w="14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Economic</w:t>
            </w:r>
          </w:p>
        </w:tc>
        <w:tc>
          <w:tcPr>
            <w:tcW w:w="160" w:type="dxa"/>
            <w:vAlign w:val="bottom"/>
          </w:tcPr>
          <w:p>
            <w:pPr>
              <w:spacing w:after="0"/>
              <w:rPr>
                <w:sz w:val="24"/>
                <w:szCs w:val="24"/>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8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Strategic</w:t>
            </w:r>
          </w:p>
        </w:tc>
        <w:tc>
          <w:tcPr>
            <w:tcW w:w="240" w:type="dxa"/>
            <w:vAlign w:val="bottom"/>
          </w:tcPr>
          <w:p>
            <w:pPr>
              <w:spacing w:after="0"/>
              <w:rPr>
                <w:sz w:val="24"/>
                <w:szCs w:val="24"/>
                <w:color w:val="auto"/>
              </w:rPr>
            </w:pPr>
          </w:p>
        </w:tc>
        <w:tc>
          <w:tcPr>
            <w:tcW w:w="8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9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Communications</w:t>
            </w: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8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343,645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190,602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179,861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97,156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898,282</w:t>
            </w:r>
          </w:p>
        </w:tc>
        <w:tc>
          <w:tcPr>
            <w:tcW w:w="0" w:type="dxa"/>
            <w:vAlign w:val="bottom"/>
          </w:tcPr>
          <w:p>
            <w:pPr>
              <w:spacing w:after="0"/>
              <w:rPr>
                <w:sz w:val="1"/>
                <w:szCs w:val="1"/>
                <w:color w:val="auto"/>
              </w:rPr>
            </w:pPr>
          </w:p>
        </w:tc>
      </w:tr>
      <w:tr>
        <w:trPr>
          <w:trHeight w:val="230"/>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Direct costs</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gridSpan w:val="3"/>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Compensation expenses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533,011</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CCEEFF"/>
            </w:tcBorders>
            <w:gridSpan w:val="3"/>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75,917</w:t>
            </w: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231,572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117,961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138,445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608,928</w:t>
            </w:r>
          </w:p>
        </w:tc>
        <w:tc>
          <w:tcPr>
            <w:tcW w:w="0" w:type="dxa"/>
            <w:vAlign w:val="bottom"/>
          </w:tcPr>
          <w:p>
            <w:pPr>
              <w:spacing w:after="0"/>
              <w:rPr>
                <w:sz w:val="1"/>
                <w:szCs w:val="1"/>
                <w:color w:val="auto"/>
              </w:rPr>
            </w:pPr>
          </w:p>
        </w:tc>
      </w:tr>
      <w:tr>
        <w:trPr>
          <w:trHeight w:val="223"/>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Segment gross profit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112,073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72,641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41,416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32,898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30,326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289,354</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180" w:type="dxa"/>
            <w:vAlign w:val="bottom"/>
            <w:tcBorders>
              <w:bottom w:val="single" w:sz="8" w:color="auto"/>
            </w:tcBorders>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ectPr>
          <w:pgSz w:w="11900" w:h="16838" w:orient="portrait"/>
          <w:cols w:equalWidth="0" w:num="1">
            <w:col w:w="11240"/>
          </w:cols>
          <w:pgMar w:left="320" w:top="891"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Times New Roman" w:cs="Times New Roman" w:eastAsia="Times New Roman" w:hAnsi="Times New Roman"/>
          <w:sz w:val="18"/>
          <w:szCs w:val="18"/>
          <w:color w:val="auto"/>
        </w:rPr>
        <w:t>The significant expense category and amounts align with the segment-level information that is regularly provided to the CODM.</w:t>
      </w:r>
    </w:p>
    <w:p>
      <w:pPr>
        <w:spacing w:after="0" w:line="171" w:lineRule="exact"/>
        <w:rPr>
          <w:sz w:val="20"/>
          <w:szCs w:val="20"/>
          <w:color w:val="auto"/>
        </w:rPr>
      </w:pPr>
    </w:p>
    <w:p>
      <w:pPr>
        <w:ind w:left="160" w:right="140" w:hanging="11"/>
        <w:spacing w:after="0" w:line="282" w:lineRule="auto"/>
        <w:rPr>
          <w:sz w:val="20"/>
          <w:szCs w:val="20"/>
          <w:color w:val="auto"/>
        </w:rPr>
      </w:pPr>
      <w:r>
        <w:rPr>
          <w:rFonts w:ascii="Times New Roman" w:cs="Times New Roman" w:eastAsia="Times New Roman" w:hAnsi="Times New Roman"/>
          <w:sz w:val="18"/>
          <w:szCs w:val="18"/>
          <w:color w:val="auto"/>
        </w:rPr>
        <w:t>Other segment items include expenses for contractor fees and other costs. In our Technology segment, other segment items also include expenses related to software, licensing, data storage and depreciation.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reconciles income before income tax provision to total segment gross profit:</w:t>
      </w:r>
    </w:p>
    <w:p>
      <w:pPr>
        <w:spacing w:after="0" w:line="200" w:lineRule="exact"/>
        <w:rPr>
          <w:sz w:val="20"/>
          <w:szCs w:val="20"/>
          <w:color w:val="auto"/>
        </w:rPr>
      </w:pPr>
    </w:p>
    <w:p>
      <w:pPr>
        <w:sectPr>
          <w:pgSz w:w="11900" w:h="16838" w:orient="portrait"/>
          <w:cols w:equalWidth="0" w:num="2">
            <w:col w:w="140" w:space="360"/>
            <w:col w:w="10740"/>
          </w:cols>
          <w:pgMar w:left="320" w:top="891" w:right="339" w:bottom="1440" w:gutter="0" w:footer="0" w:header="0"/>
          <w:type w:val="continuous"/>
        </w:sectPr>
      </w:pP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80" w:type="dxa"/>
            <w:vAlign w:val="bottom"/>
            <w:tcBorders>
              <w:bottom w:val="single" w:sz="8" w:color="CCEEFF"/>
            </w:tcBorders>
          </w:tcPr>
          <w:p>
            <w:pPr>
              <w:spacing w:after="0"/>
              <w:rPr>
                <w:sz w:val="16"/>
                <w:szCs w:val="16"/>
                <w:color w:val="auto"/>
              </w:rPr>
            </w:pPr>
          </w:p>
        </w:tc>
        <w:tc>
          <w:tcPr>
            <w:tcW w:w="38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 provision</w:t>
            </w:r>
          </w:p>
        </w:tc>
        <w:tc>
          <w:tcPr>
            <w:tcW w:w="38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80,581</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w:t>
            </w:r>
          </w:p>
        </w:tc>
        <w:tc>
          <w:tcPr>
            <w:tcW w:w="3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r>
        <w:trPr>
          <w:trHeight w:val="229"/>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and other</w:t>
            </w:r>
          </w:p>
        </w:tc>
        <w:tc>
          <w:tcPr>
            <w:tcW w:w="3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30"/>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Special charges</w:t>
            </w:r>
          </w:p>
        </w:tc>
        <w:tc>
          <w:tcPr>
            <w:tcW w:w="3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25,295</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222,298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184,335</w:t>
            </w:r>
          </w:p>
        </w:tc>
        <w:tc>
          <w:tcPr>
            <w:tcW w:w="0" w:type="dxa"/>
            <w:vAlign w:val="bottom"/>
          </w:tcPr>
          <w:p>
            <w:pPr>
              <w:spacing w:after="0"/>
              <w:rPr>
                <w:sz w:val="1"/>
                <w:szCs w:val="1"/>
                <w:color w:val="auto"/>
              </w:rPr>
            </w:pPr>
          </w:p>
        </w:tc>
      </w:tr>
      <w:tr>
        <w:trPr>
          <w:trHeight w:val="223"/>
        </w:trPr>
        <w:tc>
          <w:tcPr>
            <w:tcW w:w="44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segment gross profit</w:t>
            </w:r>
          </w:p>
        </w:tc>
        <w:tc>
          <w:tcPr>
            <w:tcW w:w="38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306,827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289,354</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840" w:type="dxa"/>
            <w:vAlign w:val="bottom"/>
            <w:vMerge w:val="restart"/>
          </w:tcPr>
          <w:p>
            <w:pPr>
              <w:jc w:val="right"/>
              <w:ind w:right="2510"/>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48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5" w:name="page16"/>
    <w:bookmarkEnd w:id="15"/>
    <w:p>
      <w:pPr>
        <w:ind w:left="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ind w:right="140" w:firstLine="486"/>
        <w:spacing w:after="0" w:line="254" w:lineRule="auto"/>
        <w:rPr>
          <w:sz w:val="20"/>
          <w:szCs w:val="20"/>
          <w:color w:val="auto"/>
        </w:rPr>
      </w:pPr>
      <w:r>
        <w:rPr>
          <w:rFonts w:ascii="Times New Roman" w:cs="Times New Roman" w:eastAsia="Times New Roman" w:hAnsi="Times New Roman"/>
          <w:sz w:val="18"/>
          <w:szCs w:val="18"/>
          <w:color w:val="auto"/>
        </w:rPr>
        <w:t>The following is a discussion and analysis of our consolidated financial condition, results of operations, and liquidity and capital resources for the three months ended March 31, 2026 and 2025, and significant factors that could affect our prospective financial condition and results of operations. This discussion should be read in conjunction with the accompanying unaudited condensed consolidated financial statements and related notes and with our Annual Report on Form 10-K for the year ended December 31, 2025 filed with the United States (“U.S.”) Securities and Exchange Commission (“SEC”). In addition to historical information, the following discussion includes forward-looking statements based on current expectations that involve risks, uncertainties and assumptions, such as our plans, objectives, expectations and intentions. Although we believe that the expectations reflected in the forward-looking statements contained herein are reasonable, these expectations or any of the forward-looking statements could prove to be incorrect, and actual results could differ materially from those projected or assumed in the forward-looking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75"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FTI Consulting, Inc., including its consolidated subsidiaries (collectively, the “Company,” “we,” “our” or “FTI Consulting”) is a leading global expert firm for organizations facing crisis and transformation. Individually, each of our segments and practices is staffed with experts recognized for the depth of their knowledge and a track record of making an impact.</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report financial results for the following five reportable segments:</w:t>
      </w:r>
    </w:p>
    <w:p>
      <w:pPr>
        <w:spacing w:after="0" w:line="167" w:lineRule="exact"/>
        <w:rPr>
          <w:sz w:val="20"/>
          <w:szCs w:val="20"/>
          <w:color w:val="auto"/>
        </w:rPr>
      </w:pPr>
    </w:p>
    <w:p>
      <w:pPr>
        <w:ind w:right="20" w:firstLine="486"/>
        <w:spacing w:after="0" w:line="262"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Corporate Finance</w:t>
      </w:r>
      <w:r>
        <w:rPr>
          <w:rFonts w:ascii="Times New Roman" w:cs="Times New Roman" w:eastAsia="Times New Roman" w:hAnsi="Times New Roman"/>
          <w:sz w:val="18"/>
          <w:szCs w:val="18"/>
          <w:color w:val="auto"/>
        </w:rPr>
        <w:t xml:space="preserve"> segment focuses on the strategic, operational, financial, transactional and capital needs of our clients around the world. Our clients include companies, boards of directors, investors, private equity sponsors, lenders, and other financing sources and creditor groups, governments and other interested parties. We deliver a wide range of services centered around three core offerings: Transactions, Transformation and Turnaround &amp; Restructuring.</w:t>
      </w:r>
    </w:p>
    <w:p>
      <w:pPr>
        <w:spacing w:after="0" w:line="122" w:lineRule="exact"/>
        <w:rPr>
          <w:sz w:val="20"/>
          <w:szCs w:val="20"/>
          <w:color w:val="auto"/>
        </w:rPr>
      </w:pPr>
    </w:p>
    <w:p>
      <w:pPr>
        <w:ind w:right="80" w:firstLine="486"/>
        <w:spacing w:after="0" w:line="259"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Forensic and Litigation Consulting (“FLC”)</w:t>
      </w:r>
      <w:r>
        <w:rPr>
          <w:rFonts w:ascii="Times New Roman" w:cs="Times New Roman" w:eastAsia="Times New Roman" w:hAnsi="Times New Roman"/>
          <w:sz w:val="18"/>
          <w:szCs w:val="18"/>
          <w:color w:val="auto"/>
        </w:rPr>
        <w:t xml:space="preserve"> segment provides law firms, companies, boards of directors, government entities, private equity firms and other interested parties with a multidisciplinary and independent range of services across risk &amp; investigations and disputes, supported by our data &amp; analytics technology-enabled solutions, with a focus on highly regulated industries. Our services are centered around five core offerings: Construction, Projects &amp; Assets and Environmental Solutions, Data &amp; Analytics, Dispute Advisory Services, Healthcare Risk Management &amp; Advisory and Risk &amp; Investigations, which includes our cybersecurity and financial services-related offerings.</w:t>
      </w:r>
    </w:p>
    <w:p>
      <w:pPr>
        <w:spacing w:after="0" w:line="125" w:lineRule="exact"/>
        <w:rPr>
          <w:sz w:val="20"/>
          <w:szCs w:val="20"/>
          <w:color w:val="auto"/>
        </w:rPr>
      </w:pPr>
    </w:p>
    <w:p>
      <w:pPr>
        <w:ind w:right="280" w:firstLine="486"/>
        <w:spacing w:after="0" w:line="262"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Economic Consulting</w:t>
      </w:r>
      <w:r>
        <w:rPr>
          <w:rFonts w:ascii="Times New Roman" w:cs="Times New Roman" w:eastAsia="Times New Roman" w:hAnsi="Times New Roman"/>
          <w:sz w:val="18"/>
          <w:szCs w:val="18"/>
          <w:color w:val="auto"/>
        </w:rPr>
        <w:t xml:space="preserve"> segment, including subsidiary Compass Lexecon LLC, provides law firms, companies, government entities and other interested parties with analyses of complex economic issues for use in international arbitration, legal and regulatory proceedings and strategic decision making and public policy debates around the world. We deliver a wide range of services centered around three core offerings: Antitrust &amp; Competition Economics, Financial Economics and International Arbitration.</w:t>
      </w:r>
    </w:p>
    <w:p>
      <w:pPr>
        <w:spacing w:after="0" w:line="122" w:lineRule="exact"/>
        <w:rPr>
          <w:sz w:val="20"/>
          <w:szCs w:val="20"/>
          <w:color w:val="auto"/>
        </w:rPr>
      </w:pPr>
    </w:p>
    <w:p>
      <w:pPr>
        <w:ind w:firstLine="486"/>
        <w:spacing w:after="0" w:line="259"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Technology</w:t>
      </w:r>
      <w:r>
        <w:rPr>
          <w:rFonts w:ascii="Times New Roman" w:cs="Times New Roman" w:eastAsia="Times New Roman" w:hAnsi="Times New Roman"/>
          <w:sz w:val="18"/>
          <w:szCs w:val="18"/>
          <w:color w:val="auto"/>
        </w:rPr>
        <w:t xml:space="preserve"> segment provides companies, law firms, private equity firms and government entities with a comprehensive global portfolio of digital insights and risk management, artificial intelligence (“AI”) and data services. Our professionals help organizations better address risk as the growing volume and variety of enterprise and emerging data intersects with legal, regulatory and compliance needs. We deliver a wide range of expert and AI-powered solutions driven by five core client needs: Blockchain &amp; Digital Assets, Information Governance, Privacy &amp; Security, Investigations, Litigation, and M&amp;A, Antitrust and Competition.</w:t>
      </w:r>
    </w:p>
    <w:p>
      <w:pPr>
        <w:spacing w:after="0" w:line="125" w:lineRule="exact"/>
        <w:rPr>
          <w:sz w:val="20"/>
          <w:szCs w:val="20"/>
          <w:color w:val="auto"/>
        </w:rPr>
      </w:pPr>
    </w:p>
    <w:p>
      <w:pPr>
        <w:ind w:right="340" w:firstLine="486"/>
        <w:spacing w:after="0" w:line="262"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Strategic Communications</w:t>
      </w:r>
      <w:r>
        <w:rPr>
          <w:rFonts w:ascii="Times New Roman" w:cs="Times New Roman" w:eastAsia="Times New Roman" w:hAnsi="Times New Roman"/>
          <w:sz w:val="18"/>
          <w:szCs w:val="18"/>
          <w:color w:val="auto"/>
        </w:rPr>
        <w:t xml:space="preserve"> segment develops and executes communications strategies to help management teams, boards of directors, law firms, governments and regulators manage change and mitigate risk surrounding transformational and disruptive events, including crises, transactions, investigations, disputes, regulation and legislation. We deliver a wide range of services centered around three core offerings: Corporate Reputation, Financial Communications and Public Affairs.</w:t>
      </w:r>
    </w:p>
    <w:p>
      <w:pPr>
        <w:spacing w:after="0" w:line="126"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We derive substantially all of our revenues from providing professional services to both U.S. and international clients. Most of our services are rendered under time and expense contract arrangements, which require the client to pay us based on the number of hours worked at contractually agreed-upon rates. Under this arrangement, we typically bill our clients for reimbursable expenses, including those relating to travel, out-of-pocket expenses, outside consultants and other outside service costs. Certain contracts are rendered under fixed-fee arrangements, which require the client to pay a fixed-fee in exchange for a predetermined set of professional services. Fixed-fee arrangements may require certain clients to pay us a recurring retainer. Our contract arrangements may also contain success fees or performance-based arrangements in which our fees are based on the attainment of contractually defined objectives with our client. This type of success fee may supplement a time and expense or fixed-fee arrangement. Success fees and other contractual terms may cause variations in our revenues and operating results due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16" w:name="page17"/>
    <w:bookmarkEnd w:id="16"/>
    <w:p>
      <w:pPr>
        <w:ind w:right="360"/>
        <w:spacing w:after="0" w:line="282" w:lineRule="auto"/>
        <w:rPr>
          <w:sz w:val="20"/>
          <w:szCs w:val="20"/>
          <w:color w:val="auto"/>
        </w:rPr>
      </w:pPr>
      <w:r>
        <w:rPr>
          <w:rFonts w:ascii="Times New Roman" w:cs="Times New Roman" w:eastAsia="Times New Roman" w:hAnsi="Times New Roman"/>
          <w:sz w:val="18"/>
          <w:szCs w:val="18"/>
          <w:color w:val="auto"/>
        </w:rPr>
        <w:t>to the timing of when achieving the performance-based criteria becomes probable. Seasonal factors, such as the timing of our employees’ and clients’ vacations and holidays, may impact the timing of our revenue recognition across our segments.</w:t>
      </w:r>
    </w:p>
    <w:p>
      <w:pPr>
        <w:spacing w:after="0" w:line="108"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In our Technology segment, certain clients are billed based on the amount of data storage used or the volume of information processed. Unit-based revenues are defined as revenues billed on a per item, per page or another unit-based method and include revenues from data processing and hosting. Unit-based revenues include revenues associated with licensed software products made available to customers via a web browser (“on-demand”). On-demand revenues are charged on a unit or monthly basis and include, but are not limited to, processing and review related functions.</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financial results are primarily driven by:</w:t>
      </w:r>
    </w:p>
    <w:p>
      <w:pPr>
        <w:spacing w:after="0" w:line="171" w:lineRule="exact"/>
        <w:rPr>
          <w:sz w:val="20"/>
          <w:szCs w:val="20"/>
          <w:color w:val="auto"/>
        </w:rPr>
      </w:pPr>
    </w:p>
    <w:p>
      <w:pPr>
        <w:ind w:left="740" w:hanging="246"/>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size and type of engagements we secure;</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billable professionals;</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utilization rates of the billable professionals we employ;</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per hour or fixed charges we charge our clients for services;</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revenue recognition;</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the billing and collection cycles; and</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locations of our clients or locations in which services are rendered.</w:t>
      </w:r>
    </w:p>
    <w:p>
      <w:pPr>
        <w:spacing w:after="0" w:line="171" w:lineRule="exact"/>
        <w:rPr>
          <w:sz w:val="20"/>
          <w:szCs w:val="20"/>
          <w:color w:val="auto"/>
        </w:rPr>
      </w:pPr>
    </w:p>
    <w:p>
      <w:pPr>
        <w:ind w:right="600" w:firstLine="486"/>
        <w:spacing w:after="0" w:line="282" w:lineRule="auto"/>
        <w:rPr>
          <w:sz w:val="20"/>
          <w:szCs w:val="20"/>
          <w:color w:val="auto"/>
        </w:rPr>
      </w:pPr>
      <w:r>
        <w:rPr>
          <w:rFonts w:ascii="Times New Roman" w:cs="Times New Roman" w:eastAsia="Times New Roman" w:hAnsi="Times New Roman"/>
          <w:sz w:val="18"/>
          <w:szCs w:val="18"/>
          <w:color w:val="auto"/>
        </w:rPr>
        <w:t>We define acquisition growth as revenues of acquired companies in the first 12 months following the effective date of an acquisition. When significant, we identify the impact of acquisition-related revenue growth.</w:t>
      </w:r>
    </w:p>
    <w:p>
      <w:pPr>
        <w:spacing w:after="0" w:line="108"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When significant, we identify the estimated impact of foreign currency (“FX”) driven by our businesses with functional currencies other than the U.S. dollar (“USD”). The estimated impact of FX on the period-to-period performance results is calculated as the difference between the prior period results multiplied by the average FX exchange rates to USD in the current period and the prior period results, multiplied by the average FX exchange rates to USD in the prior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In the accompanying analysis of financial information, we sometimes use information derived from consolidated and segment financial information that may not be presented in our financial statements or prepared in accordance with generally accepted accounting principles in the U.S. (“GAAP”). Certain of these financial measures are considered not in conformity with GAAP (“non-GAAP financial measures”) under the SEC rules. Specifically, we have referred to the following non-GAAP financial measures:</w:t>
      </w:r>
    </w:p>
    <w:p>
      <w:pPr>
        <w:spacing w:after="0" w:line="126" w:lineRule="exact"/>
        <w:rPr>
          <w:sz w:val="20"/>
          <w:szCs w:val="20"/>
          <w:color w:val="auto"/>
        </w:rPr>
      </w:pPr>
    </w:p>
    <w:p>
      <w:pPr>
        <w:ind w:left="740" w:hanging="246"/>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Segment Operating Income</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Segment EBITDA</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Adjusted Segment EBITDA</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Earnings per Diluted Share</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w:t>
      </w:r>
    </w:p>
    <w:p>
      <w:pPr>
        <w:spacing w:after="0" w:line="171"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We have included the definition of Segment Operating Income (Loss), which is a GAAP financial measure, below in order to more fully define the components of certain non-GAAP financial measures in the accompanying analysis of financial information.</w:t>
      </w:r>
    </w:p>
    <w:p>
      <w:pPr>
        <w:spacing w:after="0" w:line="108"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We define Segment Operating Income (Loss) as a segment’s share of consolidated operating income. We define Total Segment Operating Income, which is a non-GAAP financial measure, as the total of Segment Operating Income (Loss) for all segments, which excludes unallocated corporate expenses. We use Segment Operating Income (Loss) for the purpose of</w:t>
      </w:r>
    </w:p>
    <w:p>
      <w:pPr>
        <w:sectPr>
          <w:pgSz w:w="11900" w:h="16838" w:orient="portrait"/>
          <w:cols w:equalWidth="0" w:num="1">
            <w:col w:w="11140"/>
          </w:cols>
          <w:pgMar w:left="320" w:top="89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type w:val="continuous"/>
        </w:sectPr>
      </w:pPr>
    </w:p>
    <w:bookmarkStart w:id="17" w:name="page18"/>
    <w:bookmarkEnd w:id="17"/>
    <w:p>
      <w:pPr>
        <w:ind w:right="20"/>
        <w:spacing w:after="0" w:line="258" w:lineRule="auto"/>
        <w:rPr>
          <w:sz w:val="20"/>
          <w:szCs w:val="20"/>
          <w:color w:val="auto"/>
        </w:rPr>
      </w:pPr>
      <w:r>
        <w:rPr>
          <w:rFonts w:ascii="Times New Roman" w:cs="Times New Roman" w:eastAsia="Times New Roman" w:hAnsi="Times New Roman"/>
          <w:sz w:val="18"/>
          <w:szCs w:val="18"/>
          <w:color w:val="auto"/>
        </w:rPr>
        <w:t>calculating Adjusted Segment EBITDA, which is a non-GAAP financial measure. We define Adjusted Segment EBITDA as Segment Operating Income (Loss) before depreciation, amortization of intangible assets, remeasurement of acquisition-related contingent consideration, special charges and goodwill impairment charges. We use Adjusted Segment EBITDA as a basis to internally evaluate the financial performance of our segments because we believe it reflects core operating performance and provides an indicator of the segment’s ability to generate cash. We define Total Adjusted Segment EBITDA, which is a non-GAAP financial measure, as the total of Adjusted Segment EBITDA for all segments, which excludes unallocated corporate expenses.</w:t>
      </w:r>
    </w:p>
    <w:p>
      <w:pPr>
        <w:spacing w:after="0" w:line="12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define Adjusted EBITDA, which is a non-GAAP financial measure, as consolidated net income before income tax provision, other non-operating income (expense), depreciation, amortization of intangible assets, remeasurement of acquisition-related contingent consideration, special charges, goodwill impairment charges, gain or loss on sale of a business and losses on early extinguishment of debt. We define Adjusted EBITDA Margin, which is a non-GAAP financial measure, as Adjusted EBITDA as a percentage of total revenues. We believe that these non-GAAP financial measures, when considered together with our GAAP financial results and GAAP financial measures, provide management and investors with a more complete understanding of our operating results, including underlying trends. Many of our competitors use common alternative measures of operating performance. Non-GAAP financial measures are used by investors, financial analysts, rating agencies and others to value and compare the financial performance of companies in our industry. Therefore, we also believe that our non-GAAP financial measures, considered along with corresponding GAAP financial measures, provide management and investors with useful supplemental information.</w:t>
      </w:r>
    </w:p>
    <w:p>
      <w:pPr>
        <w:spacing w:after="0" w:line="134"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define Adjusted Net Income and Adjusted Earnings per Diluted Share (“Adjusted EPS”), which are non-GAAP financial measures, as net income and earnings per diluted share (“EPS”), respectively, excluding the impact of remeasurement of acquisition-related contingent consideration, special charges, goodwill impairment charges, the gain or loss on sale of a business and losses on early extinguishment of debt. We use Adjusted Net Income for the purpose of calculating Adjusted EPS. Management uses Adjusted EPS to assess total Company operating performance on a consistent basis. We believe that these non-GAAP financial measures, when considered together with our GAAP financial results and GAAP financial measures, provide management and investors with useful supplemental information on our business operating results, including underlying trends.</w:t>
      </w:r>
    </w:p>
    <w:p>
      <w:pPr>
        <w:spacing w:after="0" w:line="133" w:lineRule="exact"/>
        <w:rPr>
          <w:sz w:val="20"/>
          <w:szCs w:val="20"/>
          <w:color w:val="auto"/>
        </w:rPr>
      </w:pPr>
    </w:p>
    <w:p>
      <w:pPr>
        <w:ind w:right="120" w:firstLine="486"/>
        <w:spacing w:after="0" w:line="289" w:lineRule="auto"/>
        <w:rPr>
          <w:sz w:val="20"/>
          <w:szCs w:val="20"/>
          <w:color w:val="auto"/>
        </w:rPr>
      </w:pPr>
      <w:r>
        <w:rPr>
          <w:rFonts w:ascii="Times New Roman" w:cs="Times New Roman" w:eastAsia="Times New Roman" w:hAnsi="Times New Roman"/>
          <w:sz w:val="17"/>
          <w:szCs w:val="17"/>
          <w:color w:val="auto"/>
        </w:rPr>
        <w:t>We define Free Cash Flow, which is a non-GAAP financial measure, as net cash used in operating activities less cash payments for purchases of property and equipment. We believe this non-GAAP financial measure, when considered together with our GAAP financial results, provides management and investors with useful supplemental information on the Company’s ability to generate cash for ongoing business operations and capital deployment.</w:t>
      </w:r>
    </w:p>
    <w:p>
      <w:pPr>
        <w:spacing w:after="0" w:line="104"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Non-GAAP financial measures are not defined in the same manner by all companies and may not be comparable with other similarly titled measures of other companies. Non-GAAP financial measures should be considered in addition to, but not as a substitute for or superior to, the information contained in our Condensed Consolidated Statements of Comprehensive Income and Condensed Consolidated Statements of Cash Flows. Reconciliations of these non-GAAP financial measures to the most directly comparable GAAP financial measures are included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EXECUTIVE HIGHLIGHTS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3440" w:type="dxa"/>
            <w:vAlign w:val="bottom"/>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20" w:type="dxa"/>
            <w:vAlign w:val="bottom"/>
          </w:tcPr>
          <w:p>
            <w:pPr>
              <w:spacing w:after="0"/>
              <w:rPr>
                <w:sz w:val="16"/>
                <w:szCs w:val="16"/>
                <w:color w:val="auto"/>
              </w:rPr>
            </w:pPr>
          </w:p>
        </w:tc>
      </w:tr>
      <w:tr>
        <w:trPr>
          <w:trHeight w:val="23"/>
        </w:trPr>
        <w:tc>
          <w:tcPr>
            <w:tcW w:w="69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698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Borders>
              <w:bottom w:val="single" w:sz="8" w:color="auto"/>
            </w:tcBorders>
          </w:tcPr>
          <w:p>
            <w:pPr>
              <w:spacing w:after="0"/>
              <w:rPr>
                <w:sz w:val="16"/>
                <w:szCs w:val="16"/>
                <w:color w:val="auto"/>
              </w:rPr>
            </w:pPr>
          </w:p>
        </w:tc>
      </w:tr>
      <w:tr>
        <w:trPr>
          <w:trHeight w:val="219"/>
        </w:trPr>
        <w:tc>
          <w:tcPr>
            <w:tcW w:w="6980" w:type="dxa"/>
            <w:vAlign w:val="bottom"/>
          </w:tcPr>
          <w:p>
            <w:pPr>
              <w:spacing w:after="0"/>
              <w:rPr>
                <w:sz w:val="19"/>
                <w:szCs w:val="19"/>
                <w:color w:val="auto"/>
              </w:rPr>
            </w:pPr>
          </w:p>
        </w:tc>
        <w:tc>
          <w:tcPr>
            <w:tcW w:w="4260" w:type="dxa"/>
            <w:vAlign w:val="bottom"/>
            <w:gridSpan w:val="5"/>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(dollar amounts in thousands, except per share data)</w:t>
            </w:r>
          </w:p>
        </w:tc>
      </w:tr>
      <w:tr>
        <w:trPr>
          <w:trHeight w:val="23"/>
        </w:trPr>
        <w:tc>
          <w:tcPr>
            <w:tcW w:w="6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60" w:type="dxa"/>
            <w:vAlign w:val="bottom"/>
            <w:shd w:val="clear" w:color="auto" w:fill="CCEEFF"/>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983,345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898,282</w:t>
            </w:r>
          </w:p>
        </w:tc>
      </w:tr>
      <w:tr>
        <w:trPr>
          <w:trHeight w:val="229"/>
        </w:trPr>
        <w:tc>
          <w:tcPr>
            <w:tcW w:w="6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Special charges </w:t>
            </w:r>
            <w:r>
              <w:rPr>
                <w:rFonts w:ascii="Times New Roman" w:cs="Times New Roman" w:eastAsia="Times New Roman" w:hAnsi="Times New Roman"/>
                <w:sz w:val="23"/>
                <w:szCs w:val="23"/>
                <w:color w:val="auto"/>
                <w:vertAlign w:val="superscript"/>
              </w:rPr>
              <w:t>(1)</w:t>
            </w:r>
          </w:p>
        </w:tc>
        <w:tc>
          <w:tcPr>
            <w:tcW w:w="1260" w:type="dxa"/>
            <w:vAlign w:val="bottom"/>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25,295</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shd w:val="clear" w:color="auto" w:fill="CCEEFF"/>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61,824</w:t>
            </w: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260" w:type="dxa"/>
            <w:vAlign w:val="bottom"/>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96,818</w:t>
            </w:r>
          </w:p>
        </w:tc>
        <w:tc>
          <w:tcPr>
            <w:tcW w:w="100" w:type="dxa"/>
            <w:vAlign w:val="bottom"/>
          </w:tcPr>
          <w:p>
            <w:pPr>
              <w:spacing w:after="0"/>
              <w:rPr>
                <w:sz w:val="19"/>
                <w:szCs w:val="19"/>
                <w:color w:val="auto"/>
              </w:rPr>
            </w:pPr>
          </w:p>
        </w:tc>
        <w:tc>
          <w:tcPr>
            <w:tcW w:w="1260" w:type="dxa"/>
            <w:vAlign w:val="bottom"/>
          </w:tcPr>
          <w:p>
            <w:pPr>
              <w:jc w:val="right"/>
              <w:ind w:right="10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115,164</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EPS</w:t>
            </w:r>
          </w:p>
        </w:tc>
        <w:tc>
          <w:tcPr>
            <w:tcW w:w="1260" w:type="dxa"/>
            <w:vAlign w:val="bottom"/>
            <w:shd w:val="clear" w:color="auto" w:fill="CCEEFF"/>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EPS</w:t>
            </w:r>
          </w:p>
        </w:tc>
        <w:tc>
          <w:tcPr>
            <w:tcW w:w="1260" w:type="dxa"/>
            <w:vAlign w:val="bottom"/>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1260" w:type="dxa"/>
            <w:vAlign w:val="bottom"/>
          </w:tcPr>
          <w:p>
            <w:pPr>
              <w:jc w:val="right"/>
              <w:ind w:right="10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60" w:type="dxa"/>
            <w:vAlign w:val="bottom"/>
            <w:shd w:val="clear" w:color="auto" w:fill="CCEEFF"/>
          </w:tcPr>
          <w:p>
            <w:pPr>
              <w:jc w:val="right"/>
              <w:ind w:right="107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(310,023)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(465,210)</w:t>
            </w:r>
          </w:p>
        </w:tc>
      </w:tr>
      <w:tr>
        <w:trPr>
          <w:trHeight w:val="234"/>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number of employees</w:t>
            </w:r>
          </w:p>
        </w:tc>
        <w:tc>
          <w:tcPr>
            <w:tcW w:w="1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8,170</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3798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359" w:lineRule="exact"/>
        <w:rPr>
          <w:sz w:val="20"/>
          <w:szCs w:val="20"/>
          <w:color w:val="auto"/>
        </w:rPr>
      </w:pPr>
    </w:p>
    <w:p>
      <w:pPr>
        <w:ind w:left="640" w:hanging="632"/>
        <w:spacing w:after="0"/>
        <w:tabs>
          <w:tab w:leader="none" w:pos="64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Excluded from non-GAAP financial measures, including Adjusted EBITDA and Adjusted EPS.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Executive Highlights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75"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Revenues for the three months ended March 31, 2026 increased $85.1 million, or 9.5%, compared to the three months ended March 31, 2025. The increase in revenues was primarily due to higher revenues in our Corporate Finance, Strategic Communications and Technology segments, which was partially offset by lower revenues in our Economic Consulting segment. Excluding an estimated 2.7% positive impact from FX, revenues increased $60.8 million, or 6.8%, compared to the three months ended March 31,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Charges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special charges recorded during the three months ended March 31, 2026.</w:t>
      </w:r>
    </w:p>
    <w:p>
      <w:pPr>
        <w:spacing w:after="0" w:line="171"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we recorded special charges of $25.3 million related to targeted headcount reductions in each segment and region where we realigned our workforce with current business demand for our consulting services.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175"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Net income for the three months ended March 31, 2026 decreased $4.2 million, or 6.8%, compared to the three months ended March 31, 2025. The decrease in net income was primarily due to higher direct costs and selling, general and administrative (“SG&amp;A”) expenses, including the impact of legal settlement gains recorded in the same quarter in the prior year which did not recur, as well as an increase in interest expense and a higher effective tax rate. These decreases were partially offset by higher revenues and the absence of special charges, compared to the same quarter in the prior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Adjusted EBITDA for the three months ended March 31, 2026 decreased $18.3 million, or 15.9%, compared to the three months ended March 31,</w:t>
      </w:r>
    </w:p>
    <w:p>
      <w:pPr>
        <w:spacing w:after="0" w:line="2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2025. Adjusted EBITDA Margin of 9.8% for the three months ended March 31, 2026 compared to 12.8% for the three months ended March 31, 2025. The decrease in Adjusted EBITDA was primarily due to higher direct costs and SG&amp;A expenses, including the impact of legal settlement gains recorded in the same quarter in the prior year that did not recur, which more than offset the increase in revenues compared to the same quarter in the prior year. Adjusted EBITDA for the three months ended March 31, 2025 excludes special charges.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EPS and Adjusted EPS</w:t>
      </w:r>
    </w:p>
    <w:p>
      <w:pPr>
        <w:spacing w:after="0" w:line="175" w:lineRule="exact"/>
        <w:rPr>
          <w:sz w:val="20"/>
          <w:szCs w:val="20"/>
          <w:color w:val="auto"/>
        </w:rPr>
      </w:pPr>
    </w:p>
    <w:p>
      <w:pPr>
        <w:jc w:val="both"/>
        <w:ind w:right="520" w:firstLine="486"/>
        <w:spacing w:after="0" w:line="266" w:lineRule="auto"/>
        <w:rPr>
          <w:sz w:val="20"/>
          <w:szCs w:val="20"/>
          <w:color w:val="auto"/>
        </w:rPr>
      </w:pPr>
      <w:r>
        <w:rPr>
          <w:rFonts w:ascii="Times New Roman" w:cs="Times New Roman" w:eastAsia="Times New Roman" w:hAnsi="Times New Roman"/>
          <w:sz w:val="18"/>
          <w:szCs w:val="18"/>
          <w:color w:val="auto"/>
        </w:rPr>
        <w:t>EPS for the three months ended March 31, 2026 increased $0.16 to $1.90 compared to $1.74 for the three months ended March 31, 2025. The increase in EPS was primarily due to lower weighted average shares outstanding, which was partially offset by a decrease in net income as described above.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9" w:name="page20"/>
    <w:bookmarkEnd w:id="19"/>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Adjusted EPS for the three months ended March 31, 2026 decreased $0.39 to $1.90 compared to $2.29 for the three months ended March 31, 2025. Adjusted EPS was equal to EPS for the three months ended March 31, 2026. Adjusted EPS for the three months ended March 31, 2025 excludes the $25.3 million in special charges, which increased Adjusted EPS by $0.55.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Allocation</w:t>
      </w:r>
    </w:p>
    <w:p>
      <w:pPr>
        <w:spacing w:after="0" w:line="175"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2026 decreased $155.2 million, or 33.4%, to $310.0 million compared to $465.2 million for the three months ended March 31, 2025. The decrease in net cash used in operating activities was primarily due to a decrease in forgivable loan issuances, higher cash collections and a decrease in income tax payments, which was partially offset by an increase in compensation payments. Days sales outstanding (“DSO”) of 98 days at March 31, 2026 compared to 100 days at March 31, 2025.</w:t>
      </w:r>
    </w:p>
    <w:p>
      <w:pPr>
        <w:spacing w:after="0" w:line="126" w:lineRule="exact"/>
        <w:rPr>
          <w:sz w:val="20"/>
          <w:szCs w:val="20"/>
          <w:color w:val="auto"/>
        </w:rPr>
      </w:pPr>
    </w:p>
    <w:p>
      <w:pPr>
        <w:ind w:right="560" w:firstLine="486"/>
        <w:spacing w:after="0" w:line="282" w:lineRule="auto"/>
        <w:rPr>
          <w:sz w:val="20"/>
          <w:szCs w:val="20"/>
          <w:color w:val="auto"/>
        </w:rPr>
      </w:pPr>
      <w:r>
        <w:rPr>
          <w:rFonts w:ascii="Times New Roman" w:cs="Times New Roman" w:eastAsia="Times New Roman" w:hAnsi="Times New Roman"/>
          <w:sz w:val="18"/>
          <w:szCs w:val="18"/>
          <w:color w:val="auto"/>
        </w:rPr>
        <w:t>Free Cash Flow was an outflow of $320.6 million and $483.0 million for the three months ended March 31, 2026 and 2025, respectively. The increase in Free Cash Flow was primarily due to lower net cash used in operating activities, as described above.</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During the three months ended March 31, 2026, we made $126.8 million in payments for common stock repurchases under the Repurchase Program.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Headcount</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includes the net headcount additions (reductions) by segment and in total for the three months ended March 31, 2026.</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Billable Headcount</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Non-Billable</w:t>
            </w:r>
          </w:p>
        </w:tc>
        <w:tc>
          <w:tcPr>
            <w:tcW w:w="94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1"/>
        </w:trPr>
        <w:tc>
          <w:tcPr>
            <w:tcW w:w="2820" w:type="dxa"/>
            <w:vAlign w:val="bottom"/>
          </w:tcPr>
          <w:p>
            <w:pPr>
              <w:spacing w:after="0"/>
              <w:rPr>
                <w:sz w:val="11"/>
                <w:szCs w:val="11"/>
                <w:color w:val="auto"/>
              </w:rPr>
            </w:pPr>
          </w:p>
        </w:tc>
        <w:tc>
          <w:tcPr>
            <w:tcW w:w="104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FLC</w:t>
            </w:r>
          </w:p>
        </w:tc>
        <w:tc>
          <w:tcPr>
            <w:tcW w:w="8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Economic</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4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Strategic</w:t>
            </w:r>
          </w:p>
        </w:tc>
        <w:tc>
          <w:tcPr>
            <w:tcW w:w="10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82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840" w:type="dxa"/>
            <w:vAlign w:val="bottom"/>
            <w:gridSpan w:val="2"/>
            <w:vMerge w:val="continue"/>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Communications</w:t>
            </w:r>
          </w:p>
        </w:tc>
        <w:tc>
          <w:tcPr>
            <w:tcW w:w="1020" w:type="dxa"/>
            <w:vAlign w:val="bottom"/>
            <w:gridSpan w:val="2"/>
            <w:vMerge w:val="continue"/>
          </w:tcPr>
          <w:p>
            <w:pPr>
              <w:spacing w:after="0"/>
              <w:rPr>
                <w:sz w:val="16"/>
                <w:szCs w:val="16"/>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Headcount</w:t>
            </w: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Headcount</w:t>
            </w:r>
          </w:p>
        </w:tc>
        <w:tc>
          <w:tcPr>
            <w:tcW w:w="0" w:type="dxa"/>
            <w:vAlign w:val="bottom"/>
          </w:tcPr>
          <w:p>
            <w:pPr>
              <w:spacing w:after="0"/>
              <w:rPr>
                <w:sz w:val="1"/>
                <w:szCs w:val="1"/>
                <w:color w:val="auto"/>
              </w:rPr>
            </w:pPr>
          </w:p>
        </w:tc>
      </w:tr>
      <w:tr>
        <w:trPr>
          <w:trHeight w:val="228"/>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9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2,297</w:t>
            </w:r>
          </w:p>
        </w:tc>
        <w:tc>
          <w:tcPr>
            <w:tcW w:w="1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6,421</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1,697</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8,118</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(reductions), net</w:t>
            </w: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18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3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9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2026</w:t>
            </w:r>
          </w:p>
        </w:tc>
        <w:tc>
          <w:tcPr>
            <w:tcW w:w="9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2,342</w:t>
            </w:r>
          </w:p>
        </w:tc>
        <w:tc>
          <w:tcPr>
            <w:tcW w:w="1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6,467</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1,703</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8,170</w:t>
            </w:r>
          </w:p>
        </w:tc>
        <w:tc>
          <w:tcPr>
            <w:tcW w:w="0" w:type="dxa"/>
            <w:vAlign w:val="bottom"/>
          </w:tcPr>
          <w:p>
            <w:pPr>
              <w:spacing w:after="0"/>
              <w:rPr>
                <w:sz w:val="1"/>
                <w:szCs w:val="1"/>
                <w:color w:val="auto"/>
              </w:rPr>
            </w:pPr>
          </w:p>
        </w:tc>
      </w:tr>
      <w:tr>
        <w:trPr>
          <w:trHeight w:val="175"/>
        </w:trPr>
        <w:tc>
          <w:tcPr>
            <w:tcW w:w="2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Percentage change in headcount</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December 31, 2025</w:t>
            </w:r>
          </w:p>
        </w:tc>
        <w:tc>
          <w:tcPr>
            <w:tcW w:w="9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18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13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9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864"/>
        </w:trPr>
        <w:tc>
          <w:tcPr>
            <w:tcW w:w="2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20</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and Consolidated Operating Results: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80" w:type="dxa"/>
            <w:vAlign w:val="bottom"/>
            <w:gridSpan w:val="3"/>
          </w:tcPr>
          <w:p>
            <w:pPr>
              <w:jc w:val="center"/>
              <w:ind w:left="61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51"/>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0" w:type="dxa"/>
            <w:vAlign w:val="bottom"/>
          </w:tcPr>
          <w:p>
            <w:pPr>
              <w:spacing w:after="0"/>
              <w:rPr>
                <w:sz w:val="1"/>
                <w:szCs w:val="1"/>
                <w:color w:val="auto"/>
              </w:rPr>
            </w:pPr>
          </w:p>
        </w:tc>
      </w:tr>
      <w:tr>
        <w:trPr>
          <w:trHeight w:val="219"/>
        </w:trPr>
        <w:tc>
          <w:tcPr>
            <w:tcW w:w="6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900" w:type="dxa"/>
            <w:vAlign w:val="bottom"/>
            <w:gridSpan w:val="4"/>
          </w:tcPr>
          <w:p>
            <w:pPr>
              <w:jc w:val="center"/>
              <w:ind w:right="431"/>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3"/>
        </w:trPr>
        <w:tc>
          <w:tcPr>
            <w:tcW w:w="6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5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Finance</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409,502</w:t>
            </w:r>
          </w:p>
        </w:tc>
        <w:tc>
          <w:tcPr>
            <w:tcW w:w="100" w:type="dxa"/>
            <w:vAlign w:val="bottom"/>
          </w:tcPr>
          <w:p>
            <w:pPr>
              <w:spacing w:after="0"/>
              <w:rPr>
                <w:sz w:val="19"/>
                <w:szCs w:val="19"/>
                <w:color w:val="auto"/>
              </w:rPr>
            </w:pP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343,645</w:t>
            </w:r>
          </w:p>
        </w:tc>
        <w:tc>
          <w:tcPr>
            <w:tcW w:w="0" w:type="dxa"/>
            <w:vAlign w:val="bottom"/>
          </w:tcPr>
          <w:p>
            <w:pPr>
              <w:spacing w:after="0"/>
              <w:rPr>
                <w:sz w:val="1"/>
                <w:szCs w:val="1"/>
                <w:color w:val="auto"/>
              </w:rPr>
            </w:pPr>
          </w:p>
        </w:tc>
      </w:tr>
      <w:tr>
        <w:trPr>
          <w:trHeight w:val="229"/>
        </w:trPr>
        <w:tc>
          <w:tcPr>
            <w:tcW w:w="6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FLC</w:t>
            </w:r>
          </w:p>
        </w:tc>
        <w:tc>
          <w:tcPr>
            <w:tcW w:w="5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192,878</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190,602</w:t>
            </w:r>
          </w:p>
        </w:tc>
        <w:tc>
          <w:tcPr>
            <w:tcW w:w="0" w:type="dxa"/>
            <w:vAlign w:val="bottom"/>
          </w:tcPr>
          <w:p>
            <w:pPr>
              <w:spacing w:after="0"/>
              <w:rPr>
                <w:sz w:val="1"/>
                <w:szCs w:val="1"/>
                <w:color w:val="auto"/>
              </w:rPr>
            </w:pPr>
          </w:p>
        </w:tc>
      </w:tr>
      <w:tr>
        <w:trPr>
          <w:trHeight w:val="230"/>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Economic Consulting</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175,648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179,861</w:t>
            </w:r>
          </w:p>
        </w:tc>
        <w:tc>
          <w:tcPr>
            <w:tcW w:w="0" w:type="dxa"/>
            <w:vAlign w:val="bottom"/>
          </w:tcPr>
          <w:p>
            <w:pPr>
              <w:spacing w:after="0"/>
              <w:rPr>
                <w:sz w:val="1"/>
                <w:szCs w:val="1"/>
                <w:color w:val="auto"/>
              </w:rPr>
            </w:pPr>
          </w:p>
        </w:tc>
      </w:tr>
      <w:tr>
        <w:trPr>
          <w:trHeight w:val="229"/>
        </w:trPr>
        <w:tc>
          <w:tcPr>
            <w:tcW w:w="6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Technology</w:t>
            </w:r>
          </w:p>
        </w:tc>
        <w:tc>
          <w:tcPr>
            <w:tcW w:w="5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102,323</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97,156</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Strategic Communications</w:t>
            </w: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102,994</w:t>
            </w:r>
          </w:p>
        </w:tc>
        <w:tc>
          <w:tcPr>
            <w:tcW w:w="1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87,018</w:t>
            </w:r>
          </w:p>
        </w:tc>
        <w:tc>
          <w:tcPr>
            <w:tcW w:w="0" w:type="dxa"/>
            <w:vAlign w:val="bottom"/>
          </w:tcPr>
          <w:p>
            <w:pPr>
              <w:spacing w:after="0"/>
              <w:rPr>
                <w:sz w:val="1"/>
                <w:szCs w:val="1"/>
                <w:color w:val="auto"/>
              </w:rPr>
            </w:pPr>
          </w:p>
        </w:tc>
      </w:tr>
      <w:tr>
        <w:trPr>
          <w:trHeight w:val="248"/>
        </w:trPr>
        <w:tc>
          <w:tcPr>
            <w:tcW w:w="682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983,345</w:t>
            </w:r>
          </w:p>
        </w:tc>
        <w:tc>
          <w:tcPr>
            <w:tcW w:w="1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898,282</w:t>
            </w:r>
          </w:p>
        </w:tc>
        <w:tc>
          <w:tcPr>
            <w:tcW w:w="0" w:type="dxa"/>
            <w:vAlign w:val="bottom"/>
          </w:tcPr>
          <w:p>
            <w:pPr>
              <w:spacing w:after="0"/>
              <w:rPr>
                <w:sz w:val="1"/>
                <w:szCs w:val="1"/>
                <w:color w:val="auto"/>
              </w:rPr>
            </w:pPr>
          </w:p>
        </w:tc>
      </w:tr>
      <w:tr>
        <w:trPr>
          <w:trHeight w:val="20"/>
        </w:trPr>
        <w:tc>
          <w:tcPr>
            <w:tcW w:w="682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16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Corporate Finance</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85,230</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40,950</w:t>
            </w:r>
          </w:p>
        </w:tc>
        <w:tc>
          <w:tcPr>
            <w:tcW w:w="0" w:type="dxa"/>
            <w:vAlign w:val="bottom"/>
          </w:tcPr>
          <w:p>
            <w:pPr>
              <w:spacing w:after="0"/>
              <w:rPr>
                <w:sz w:val="1"/>
                <w:szCs w:val="1"/>
                <w:color w:val="auto"/>
              </w:rPr>
            </w:pPr>
          </w:p>
        </w:tc>
      </w:tr>
      <w:tr>
        <w:trPr>
          <w:trHeight w:val="229"/>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FLC</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23,085</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30,106</w:t>
            </w:r>
          </w:p>
        </w:tc>
        <w:tc>
          <w:tcPr>
            <w:tcW w:w="0" w:type="dxa"/>
            <w:vAlign w:val="bottom"/>
          </w:tcPr>
          <w:p>
            <w:pPr>
              <w:spacing w:after="0"/>
              <w:rPr>
                <w:sz w:val="1"/>
                <w:szCs w:val="1"/>
                <w:color w:val="auto"/>
              </w:rPr>
            </w:pPr>
          </w:p>
        </w:tc>
      </w:tr>
      <w:tr>
        <w:trPr>
          <w:trHeight w:val="229"/>
        </w:trPr>
        <w:tc>
          <w:tcPr>
            <w:tcW w:w="6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Economic Consulting</w:t>
            </w:r>
          </w:p>
        </w:tc>
        <w:tc>
          <w:tcPr>
            <w:tcW w:w="5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(7,331)</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12,089</w:t>
            </w:r>
          </w:p>
        </w:tc>
        <w:tc>
          <w:tcPr>
            <w:tcW w:w="0" w:type="dxa"/>
            <w:vAlign w:val="bottom"/>
          </w:tcPr>
          <w:p>
            <w:pPr>
              <w:spacing w:after="0"/>
              <w:rPr>
                <w:sz w:val="1"/>
                <w:szCs w:val="1"/>
                <w:color w:val="auto"/>
              </w:rPr>
            </w:pPr>
          </w:p>
        </w:tc>
      </w:tr>
      <w:tr>
        <w:trPr>
          <w:trHeight w:val="230"/>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Technology</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6,594</w:t>
            </w:r>
          </w:p>
        </w:tc>
        <w:tc>
          <w:tcPr>
            <w:tcW w:w="0" w:type="dxa"/>
            <w:vAlign w:val="bottom"/>
          </w:tcPr>
          <w:p>
            <w:pPr>
              <w:spacing w:after="0"/>
              <w:rPr>
                <w:sz w:val="1"/>
                <w:szCs w:val="1"/>
                <w:color w:val="auto"/>
              </w:rPr>
            </w:pPr>
          </w:p>
        </w:tc>
      </w:tr>
      <w:tr>
        <w:trPr>
          <w:trHeight w:val="229"/>
        </w:trPr>
        <w:tc>
          <w:tcPr>
            <w:tcW w:w="6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Strategic Communications</w:t>
            </w:r>
          </w:p>
        </w:tc>
        <w:tc>
          <w:tcPr>
            <w:tcW w:w="5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20,838</w:t>
            </w:r>
          </w:p>
        </w:tc>
        <w:tc>
          <w:tcPr>
            <w:tcW w:w="1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8,725</w:t>
            </w:r>
          </w:p>
        </w:tc>
        <w:tc>
          <w:tcPr>
            <w:tcW w:w="0" w:type="dxa"/>
            <w:vAlign w:val="bottom"/>
          </w:tcPr>
          <w:p>
            <w:pPr>
              <w:spacing w:after="0"/>
              <w:rPr>
                <w:sz w:val="1"/>
                <w:szCs w:val="1"/>
                <w:color w:val="auto"/>
              </w:rPr>
            </w:pPr>
          </w:p>
        </w:tc>
      </w:tr>
      <w:tr>
        <w:trPr>
          <w:trHeight w:val="223"/>
        </w:trPr>
        <w:tc>
          <w:tcPr>
            <w:tcW w:w="68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segment operating income</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129,525</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98,464</w:t>
            </w:r>
          </w:p>
        </w:tc>
        <w:tc>
          <w:tcPr>
            <w:tcW w:w="0" w:type="dxa"/>
            <w:vAlign w:val="bottom"/>
          </w:tcPr>
          <w:p>
            <w:pPr>
              <w:spacing w:after="0"/>
              <w:rPr>
                <w:sz w:val="1"/>
                <w:szCs w:val="1"/>
                <w:color w:val="auto"/>
              </w:rPr>
            </w:pPr>
          </w:p>
        </w:tc>
      </w:tr>
      <w:tr>
        <w:trPr>
          <w:trHeight w:val="229"/>
        </w:trPr>
        <w:tc>
          <w:tcPr>
            <w:tcW w:w="6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5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(45,608)</w:t>
            </w:r>
          </w:p>
        </w:tc>
        <w:tc>
          <w:tcPr>
            <w:tcW w:w="1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(19,757)</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83,917</w:t>
            </w:r>
          </w:p>
        </w:tc>
        <w:tc>
          <w:tcPr>
            <w:tcW w:w="1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78,707</w:t>
            </w:r>
          </w:p>
        </w:tc>
        <w:tc>
          <w:tcPr>
            <w:tcW w:w="0" w:type="dxa"/>
            <w:vAlign w:val="bottom"/>
          </w:tcPr>
          <w:p>
            <w:pPr>
              <w:spacing w:after="0"/>
              <w:rPr>
                <w:sz w:val="1"/>
                <w:szCs w:val="1"/>
                <w:color w:val="auto"/>
              </w:rPr>
            </w:pPr>
          </w:p>
        </w:tc>
      </w:tr>
      <w:tr>
        <w:trPr>
          <w:trHeight w:val="22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5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and other</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0" w:type="dxa"/>
            <w:vAlign w:val="bottom"/>
          </w:tcPr>
          <w:p>
            <w:pPr>
              <w:spacing w:after="0"/>
              <w:rPr>
                <w:sz w:val="1"/>
                <w:szCs w:val="1"/>
                <w:color w:val="auto"/>
              </w:rPr>
            </w:pPr>
          </w:p>
        </w:tc>
      </w:tr>
      <w:tr>
        <w:trPr>
          <w:trHeight w:val="230"/>
        </w:trPr>
        <w:tc>
          <w:tcPr>
            <w:tcW w:w="6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5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(6,445)</w:t>
            </w:r>
          </w:p>
        </w:tc>
        <w:tc>
          <w:tcPr>
            <w:tcW w:w="1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1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0" w:type="dxa"/>
            <w:vAlign w:val="bottom"/>
          </w:tcPr>
          <w:p>
            <w:pPr>
              <w:spacing w:after="0"/>
              <w:rPr>
                <w:sz w:val="1"/>
                <w:szCs w:val="1"/>
                <w:color w:val="auto"/>
              </w:rPr>
            </w:pPr>
          </w:p>
        </w:tc>
      </w:tr>
      <w:tr>
        <w:trPr>
          <w:trHeight w:val="22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 provision</w:t>
            </w:r>
          </w:p>
        </w:tc>
        <w:tc>
          <w:tcPr>
            <w:tcW w:w="5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78,546</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80,581</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20,915</w:t>
            </w:r>
          </w:p>
        </w:tc>
        <w:tc>
          <w:tcPr>
            <w:tcW w:w="1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18,757</w:t>
            </w:r>
          </w:p>
        </w:tc>
        <w:tc>
          <w:tcPr>
            <w:tcW w:w="0" w:type="dxa"/>
            <w:vAlign w:val="bottom"/>
          </w:tcPr>
          <w:p>
            <w:pPr>
              <w:spacing w:after="0"/>
              <w:rPr>
                <w:sz w:val="1"/>
                <w:szCs w:val="1"/>
                <w:color w:val="auto"/>
              </w:rPr>
            </w:pPr>
          </w:p>
        </w:tc>
      </w:tr>
      <w:tr>
        <w:trPr>
          <w:trHeight w:val="248"/>
        </w:trPr>
        <w:tc>
          <w:tcPr>
            <w:tcW w:w="6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57,631</w:t>
            </w:r>
          </w:p>
        </w:tc>
        <w:tc>
          <w:tcPr>
            <w:tcW w:w="1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61,824</w:t>
            </w:r>
          </w:p>
        </w:tc>
        <w:tc>
          <w:tcPr>
            <w:tcW w:w="0" w:type="dxa"/>
            <w:vAlign w:val="bottom"/>
          </w:tcPr>
          <w:p>
            <w:pPr>
              <w:spacing w:after="0"/>
              <w:rPr>
                <w:sz w:val="1"/>
                <w:szCs w:val="1"/>
                <w:color w:val="auto"/>
              </w:rPr>
            </w:pPr>
          </w:p>
        </w:tc>
      </w:tr>
      <w:tr>
        <w:trPr>
          <w:trHeight w:val="20"/>
        </w:trPr>
        <w:tc>
          <w:tcPr>
            <w:tcW w:w="68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16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8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Earnings per common share — basic</w:t>
            </w:r>
          </w:p>
        </w:tc>
        <w:tc>
          <w:tcPr>
            <w:tcW w:w="520" w:type="dxa"/>
            <w:vAlign w:val="bottom"/>
            <w:tcBorders>
              <w:bottom w:val="single" w:sz="8" w:color="auto"/>
            </w:tcBorders>
          </w:tcPr>
          <w:p>
            <w:pPr>
              <w:jc w:val="right"/>
              <w:ind w:right="3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ind w:right="7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0"/>
        </w:trPr>
        <w:tc>
          <w:tcPr>
            <w:tcW w:w="6820" w:type="dxa"/>
            <w:vAlign w:val="bottom"/>
            <w:tcBorders>
              <w:bottom w:val="single" w:sz="8" w:color="CFF0FC"/>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 — diluted</w:t>
            </w: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0"/>
        </w:trPr>
        <w:tc>
          <w:tcPr>
            <w:tcW w:w="68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EBITDA:</w:t>
            </w: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16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8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6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80" w:type="dxa"/>
            <w:vAlign w:val="bottom"/>
            <w:gridSpan w:val="3"/>
          </w:tcPr>
          <w:p>
            <w:pPr>
              <w:jc w:val="center"/>
              <w:ind w:left="61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8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51"/>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0" w:type="dxa"/>
            <w:vAlign w:val="bottom"/>
          </w:tcPr>
          <w:p>
            <w:pPr>
              <w:spacing w:after="0"/>
              <w:rPr>
                <w:sz w:val="1"/>
                <w:szCs w:val="1"/>
                <w:color w:val="auto"/>
              </w:rPr>
            </w:pPr>
          </w:p>
        </w:tc>
      </w:tr>
      <w:tr>
        <w:trPr>
          <w:trHeight w:val="219"/>
        </w:trPr>
        <w:tc>
          <w:tcPr>
            <w:tcW w:w="6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80" w:type="dxa"/>
            <w:vAlign w:val="bottom"/>
            <w:gridSpan w:val="3"/>
          </w:tcPr>
          <w:p>
            <w:pPr>
              <w:jc w:val="center"/>
              <w:ind w:left="59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61,824</w:t>
            </w: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w:t>
            </w:r>
          </w:p>
        </w:tc>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provision</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18,757</w:t>
            </w:r>
          </w:p>
        </w:tc>
        <w:tc>
          <w:tcPr>
            <w:tcW w:w="0" w:type="dxa"/>
            <w:vAlign w:val="bottom"/>
          </w:tcPr>
          <w:p>
            <w:pPr>
              <w:spacing w:after="0"/>
              <w:rPr>
                <w:sz w:val="1"/>
                <w:szCs w:val="1"/>
                <w:color w:val="auto"/>
              </w:rPr>
            </w:pPr>
          </w:p>
        </w:tc>
      </w:tr>
      <w:tr>
        <w:trPr>
          <w:trHeight w:val="230"/>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and other</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r>
        <w:trPr>
          <w:trHeight w:val="230"/>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5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12,289</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10,145</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30"/>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Special charges</w:t>
            </w:r>
          </w:p>
        </w:tc>
        <w:tc>
          <w:tcPr>
            <w:tcW w:w="5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25,295</w:t>
            </w:r>
          </w:p>
        </w:tc>
        <w:tc>
          <w:tcPr>
            <w:tcW w:w="0" w:type="dxa"/>
            <w:vAlign w:val="bottom"/>
          </w:tcPr>
          <w:p>
            <w:pPr>
              <w:spacing w:after="0"/>
              <w:rPr>
                <w:sz w:val="1"/>
                <w:szCs w:val="1"/>
                <w:color w:val="auto"/>
              </w:rPr>
            </w:pPr>
          </w:p>
        </w:tc>
      </w:tr>
      <w:tr>
        <w:trPr>
          <w:trHeight w:val="248"/>
        </w:trPr>
        <w:tc>
          <w:tcPr>
            <w:tcW w:w="68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115,164</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and EPS to Adjusted Net Income and Adjusted EPS: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360" w:type="dxa"/>
            <w:vAlign w:val="bottom"/>
            <w:gridSpan w:val="3"/>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820" w:type="dxa"/>
            <w:vAlign w:val="bottom"/>
          </w:tcPr>
          <w:p>
            <w:pPr>
              <w:spacing w:after="0"/>
              <w:rPr>
                <w:sz w:val="20"/>
                <w:szCs w:val="20"/>
                <w:color w:val="auto"/>
              </w:rPr>
            </w:pPr>
          </w:p>
        </w:tc>
        <w:tc>
          <w:tcPr>
            <w:tcW w:w="3580" w:type="dxa"/>
            <w:vAlign w:val="bottom"/>
            <w:gridSpan w:val="4"/>
          </w:tcPr>
          <w:p>
            <w:pPr>
              <w:jc w:val="center"/>
              <w:ind w:left="756"/>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6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20" w:type="dxa"/>
            <w:vAlign w:val="bottom"/>
            <w:shd w:val="clear" w:color="auto" w:fill="CFF0FC"/>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57,631</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13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61,824</w:t>
            </w:r>
          </w:p>
        </w:tc>
        <w:tc>
          <w:tcPr>
            <w:tcW w:w="0" w:type="dxa"/>
            <w:vAlign w:val="bottom"/>
          </w:tcPr>
          <w:p>
            <w:pPr>
              <w:spacing w:after="0"/>
              <w:rPr>
                <w:sz w:val="1"/>
                <w:szCs w:val="1"/>
                <w:color w:val="auto"/>
              </w:rPr>
            </w:pP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w:t>
            </w:r>
          </w:p>
        </w:tc>
        <w:tc>
          <w:tcPr>
            <w:tcW w:w="1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Special charges</w:t>
            </w:r>
          </w:p>
        </w:tc>
        <w:tc>
          <w:tcPr>
            <w:tcW w:w="1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25,295</w:t>
            </w:r>
          </w:p>
        </w:tc>
        <w:tc>
          <w:tcPr>
            <w:tcW w:w="0" w:type="dxa"/>
            <w:vAlign w:val="bottom"/>
          </w:tcPr>
          <w:p>
            <w:pPr>
              <w:spacing w:after="0"/>
              <w:rPr>
                <w:sz w:val="1"/>
                <w:szCs w:val="1"/>
                <w:color w:val="auto"/>
              </w:rPr>
            </w:pPr>
          </w:p>
        </w:tc>
      </w:tr>
      <w:tr>
        <w:trPr>
          <w:trHeight w:val="230"/>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impact of special charges</w:t>
            </w:r>
          </w:p>
        </w:tc>
        <w:tc>
          <w:tcPr>
            <w:tcW w:w="1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0" w:type="dxa"/>
            <w:vAlign w:val="bottom"/>
          </w:tcPr>
          <w:p>
            <w:pPr>
              <w:spacing w:after="0"/>
              <w:rPr>
                <w:sz w:val="1"/>
                <w:szCs w:val="1"/>
                <w:color w:val="auto"/>
              </w:rPr>
            </w:pPr>
          </w:p>
        </w:tc>
      </w:tr>
      <w:tr>
        <w:trPr>
          <w:trHeight w:val="248"/>
        </w:trPr>
        <w:tc>
          <w:tcPr>
            <w:tcW w:w="68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1220" w:type="dxa"/>
            <w:vAlign w:val="bottom"/>
            <w:tcBorders>
              <w:top w:val="single" w:sz="8" w:color="auto"/>
              <w:bottom w:val="single" w:sz="8" w:color="auto"/>
            </w:tcBorders>
            <w:shd w:val="clear" w:color="auto" w:fill="CFF0FC"/>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57,631</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320" w:type="dxa"/>
            <w:vAlign w:val="bottom"/>
            <w:tcBorders>
              <w:top w:val="single" w:sz="8" w:color="auto"/>
              <w:bottom w:val="single" w:sz="8" w:color="auto"/>
            </w:tcBorders>
            <w:shd w:val="clear" w:color="auto" w:fill="CFF0FC"/>
          </w:tcPr>
          <w:p>
            <w:pPr>
              <w:jc w:val="right"/>
              <w:ind w:right="113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81,320</w:t>
            </w:r>
          </w:p>
        </w:tc>
        <w:tc>
          <w:tcPr>
            <w:tcW w:w="0" w:type="dxa"/>
            <w:vAlign w:val="bottom"/>
          </w:tcPr>
          <w:p>
            <w:pPr>
              <w:spacing w:after="0"/>
              <w:rPr>
                <w:sz w:val="1"/>
                <w:szCs w:val="1"/>
                <w:color w:val="auto"/>
              </w:rPr>
            </w:pPr>
          </w:p>
        </w:tc>
      </w:tr>
      <w:tr>
        <w:trPr>
          <w:trHeight w:val="20"/>
        </w:trPr>
        <w:tc>
          <w:tcPr>
            <w:tcW w:w="682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EPS</w:t>
            </w: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bottom w:val="single" w:sz="8" w:color="auto"/>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820" w:type="dxa"/>
            <w:vAlign w:val="bottom"/>
            <w:vMerge w:val="continue"/>
          </w:tcPr>
          <w:p>
            <w:pPr>
              <w:spacing w:after="0"/>
              <w:rPr>
                <w:sz w:val="17"/>
                <w:szCs w:val="17"/>
                <w:color w:val="auto"/>
              </w:rPr>
            </w:pPr>
          </w:p>
        </w:tc>
        <w:tc>
          <w:tcPr>
            <w:tcW w:w="1220" w:type="dxa"/>
            <w:vAlign w:val="bottom"/>
          </w:tcPr>
          <w:p>
            <w:pPr>
              <w:jc w:val="right"/>
              <w:ind w:right="1036"/>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7"/>
                <w:szCs w:val="17"/>
                <w:color w:val="auto"/>
              </w:rPr>
            </w:pPr>
          </w:p>
        </w:tc>
        <w:tc>
          <w:tcPr>
            <w:tcW w:w="1320" w:type="dxa"/>
            <w:vAlign w:val="bottom"/>
          </w:tcPr>
          <w:p>
            <w:pPr>
              <w:jc w:val="right"/>
              <w:ind w:right="1135"/>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9"/>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 back:</w:t>
            </w:r>
          </w:p>
        </w:tc>
        <w:tc>
          <w:tcPr>
            <w:tcW w:w="1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Special charges</w:t>
            </w:r>
          </w:p>
        </w:tc>
        <w:tc>
          <w:tcPr>
            <w:tcW w:w="1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230"/>
        </w:trPr>
        <w:tc>
          <w:tcPr>
            <w:tcW w:w="6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Tax impact of special charges</w:t>
            </w:r>
          </w:p>
        </w:tc>
        <w:tc>
          <w:tcPr>
            <w:tcW w:w="1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EPS</w:t>
            </w:r>
          </w:p>
        </w:tc>
        <w:tc>
          <w:tcPr>
            <w:tcW w:w="1220" w:type="dxa"/>
            <w:vAlign w:val="bottom"/>
            <w:tcBorders>
              <w:top w:val="single" w:sz="8" w:color="auto"/>
              <w:bottom w:val="single" w:sz="8" w:color="auto"/>
            </w:tcBorders>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ind w:right="113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0"/>
        </w:trPr>
        <w:tc>
          <w:tcPr>
            <w:tcW w:w="6820" w:type="dxa"/>
            <w:vAlign w:val="bottom"/>
            <w:tcBorders>
              <w:bottom w:val="single" w:sz="8" w:color="CFF0FC"/>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8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Weighted average number of common shares outstanding — diluted</w:t>
            </w:r>
          </w:p>
        </w:tc>
        <w:tc>
          <w:tcPr>
            <w:tcW w:w="1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30,329</w:t>
            </w:r>
          </w:p>
        </w:tc>
        <w:tc>
          <w:tcPr>
            <w:tcW w:w="1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35,500</w:t>
            </w:r>
          </w:p>
        </w:tc>
        <w:tc>
          <w:tcPr>
            <w:tcW w:w="0" w:type="dxa"/>
            <w:vAlign w:val="bottom"/>
          </w:tcPr>
          <w:p>
            <w:pPr>
              <w:spacing w:after="0"/>
              <w:rPr>
                <w:sz w:val="1"/>
                <w:szCs w:val="1"/>
                <w:color w:val="auto"/>
              </w:rPr>
            </w:pPr>
          </w:p>
        </w:tc>
      </w:tr>
      <w:tr>
        <w:trPr>
          <w:trHeight w:val="20"/>
        </w:trPr>
        <w:tc>
          <w:tcPr>
            <w:tcW w:w="68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Cash Used in Operating Activities to Free Cash Flow:</w:t>
            </w: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bottom w:val="single" w:sz="8" w:color="auto"/>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82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6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60" w:type="dxa"/>
            <w:vAlign w:val="bottom"/>
            <w:gridSpan w:val="3"/>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8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20" w:type="dxa"/>
            <w:vAlign w:val="bottom"/>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360" w:type="dxa"/>
            <w:vAlign w:val="bottom"/>
            <w:gridSpan w:val="3"/>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20" w:type="dxa"/>
            <w:vAlign w:val="bottom"/>
            <w:shd w:val="clear" w:color="auto" w:fill="CFF0FC"/>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(310,023)</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13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(465,210)</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(10,618)</w:t>
            </w:r>
          </w:p>
        </w:tc>
        <w:tc>
          <w:tcPr>
            <w:tcW w:w="10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(17,803)</w:t>
            </w:r>
          </w:p>
        </w:tc>
        <w:tc>
          <w:tcPr>
            <w:tcW w:w="0" w:type="dxa"/>
            <w:vAlign w:val="bottom"/>
          </w:tcPr>
          <w:p>
            <w:pPr>
              <w:spacing w:after="0"/>
              <w:rPr>
                <w:sz w:val="1"/>
                <w:szCs w:val="1"/>
                <w:color w:val="auto"/>
              </w:rPr>
            </w:pPr>
          </w:p>
        </w:tc>
      </w:tr>
      <w:tr>
        <w:trPr>
          <w:trHeight w:val="248"/>
        </w:trPr>
        <w:tc>
          <w:tcPr>
            <w:tcW w:w="6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220" w:type="dxa"/>
            <w:vAlign w:val="bottom"/>
            <w:tcBorders>
              <w:bottom w:val="single" w:sz="8" w:color="auto"/>
            </w:tcBorders>
            <w:shd w:val="clear" w:color="auto" w:fill="CFF0FC"/>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(320,641)</w:t>
            </w:r>
          </w:p>
        </w:tc>
        <w:tc>
          <w:tcPr>
            <w:tcW w:w="1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113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(483,013)</w:t>
            </w:r>
          </w:p>
        </w:tc>
        <w:tc>
          <w:tcPr>
            <w:tcW w:w="0" w:type="dxa"/>
            <w:vAlign w:val="bottom"/>
          </w:tcPr>
          <w:p>
            <w:pPr>
              <w:spacing w:after="0"/>
              <w:rPr>
                <w:sz w:val="1"/>
                <w:szCs w:val="1"/>
                <w:color w:val="auto"/>
              </w:rPr>
            </w:pPr>
          </w:p>
        </w:tc>
      </w:tr>
      <w:tr>
        <w:trPr>
          <w:trHeight w:val="20"/>
        </w:trPr>
        <w:tc>
          <w:tcPr>
            <w:tcW w:w="682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bottom w:val="single" w:sz="8" w:color="auto"/>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 Compared to Three Months Ended March 31,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and operating income</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“Segment Results” for an expanded discussion of revenues, gross profit and SG&amp;A expenses.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Unallocated corporate expenses</w:t>
      </w:r>
    </w:p>
    <w:p>
      <w:pPr>
        <w:spacing w:after="0" w:line="175"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Unallocated corporate expenses increased $25.9 million, or 130.8%, to $45.6 million compared to $19.8 million for the three months ended March 31, 2025, primarily due to a legal settlement gain recorded during the three months ended March 31, 2025, and an increase in legal expenses during the three months ended March 31, 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w:t>
      </w:r>
    </w:p>
    <w:p>
      <w:pPr>
        <w:spacing w:after="0" w:line="17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Interest income and other, which includes FX gains and losses, decreased $1.8 million to $1.1 million for the three months ended March 31, 2026 compared to $2.8 million for the three months ended March 31, 2025, primarily due to a $3.1 million decrease in interest income, which was partially offset by a $1.3 million positive impact from FX remeasurement. There was no FX remeasurement gain or loss during the three months ended March 31, 2026 as compared to a $1.3 million FX loss during the same quarter in the prior year.</w:t>
      </w:r>
    </w:p>
    <w:p>
      <w:pPr>
        <w:spacing w:after="0" w:line="126"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FX gains and losses, both realized and unrealized, relate to the remeasurement or settlement of monetary assets and liabilities that are denominated in a currency other than an entity’s functional currency. These monetary assets and liabilities include cash, as well as third-party and intercompany receivables and payables.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ind w:right="300" w:firstLine="486"/>
        <w:spacing w:after="0" w:line="312" w:lineRule="auto"/>
        <w:rPr>
          <w:sz w:val="20"/>
          <w:szCs w:val="20"/>
          <w:color w:val="auto"/>
        </w:rPr>
      </w:pPr>
      <w:r>
        <w:rPr>
          <w:rFonts w:ascii="Times New Roman" w:cs="Times New Roman" w:eastAsia="Times New Roman" w:hAnsi="Times New Roman"/>
          <w:sz w:val="17"/>
          <w:szCs w:val="17"/>
          <w:color w:val="auto"/>
        </w:rPr>
        <w:t>Interest expense increased $5.5 million to $6.4 million for the three months ended March 31, 2026 compared to $1.0 million for the three months ended March 31, 2025, primarily due to higher borrowings on our senior unsecured bank revolving credit facility (“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75"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Our income tax provision increased $2.2 million, or 11.5%, to $20.9 million for the three months ended March 31, 2026 compared to $18.8 million for the three months ended March 31, 2025. Our effective tax rate of 26.6% for the three months ended March 31, 2026 compared to 23.3% for the three months ended March 31, 2025. The increase in the income tax provision was primarily due to a less favorable tax benefit related to share-based compensation, as fewer shares vested during the period, and an increase in the valuation allowance recorded against current period losses as compared to the three months ended March 31,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Segment EBITDA</w:t>
      </w:r>
    </w:p>
    <w:p>
      <w:pPr>
        <w:spacing w:after="0" w:line="175"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We evaluate the performance of each of our operating segments based on multiple measures of segment profit, including Adjusted Segment EBITDA, which is a non-GAAP financial measure. The following tables reconcile Segment Operating Income (Loss) to Adjusted Segment EBITDA for the three months ended March 31, 2026 and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220" w:type="dxa"/>
            <w:vAlign w:val="bottom"/>
          </w:tcPr>
          <w:p>
            <w:pPr>
              <w:spacing w:after="0"/>
              <w:rPr>
                <w:sz w:val="13"/>
                <w:szCs w:val="13"/>
                <w:color w:val="auto"/>
              </w:rPr>
            </w:pP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FLC</w:t>
            </w:r>
          </w:p>
        </w:tc>
        <w:tc>
          <w:tcPr>
            <w:tcW w:w="14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Economic</w:t>
            </w:r>
          </w:p>
        </w:tc>
        <w:tc>
          <w:tcPr>
            <w:tcW w:w="140" w:type="dxa"/>
            <w:vAlign w:val="bottom"/>
          </w:tcPr>
          <w:p>
            <w:pPr>
              <w:spacing w:after="0"/>
              <w:rPr>
                <w:sz w:val="13"/>
                <w:szCs w:val="13"/>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40" w:type="dxa"/>
            <w:vAlign w:val="bottom"/>
          </w:tcPr>
          <w:p>
            <w:pPr>
              <w:spacing w:after="0"/>
              <w:rPr>
                <w:sz w:val="13"/>
                <w:szCs w:val="13"/>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Strategic</w:t>
            </w:r>
          </w:p>
        </w:tc>
        <w:tc>
          <w:tcPr>
            <w:tcW w:w="12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220" w:type="dxa"/>
            <w:vAlign w:val="bottom"/>
          </w:tcPr>
          <w:p>
            <w:pPr>
              <w:spacing w:after="0"/>
              <w:rPr>
                <w:sz w:val="13"/>
                <w:szCs w:val="13"/>
                <w:color w:val="auto"/>
              </w:rPr>
            </w:pPr>
          </w:p>
        </w:tc>
        <w:tc>
          <w:tcPr>
            <w:tcW w:w="72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Communications</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57,631</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income and other</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6,445</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Income tax provision</w:t>
            </w: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20,915</w:t>
            </w:r>
          </w:p>
        </w:tc>
        <w:tc>
          <w:tcPr>
            <w:tcW w:w="0" w:type="dxa"/>
            <w:vAlign w:val="bottom"/>
          </w:tcPr>
          <w:p>
            <w:pPr>
              <w:spacing w:after="0"/>
              <w:rPr>
                <w:sz w:val="1"/>
                <w:szCs w:val="1"/>
                <w:color w:val="auto"/>
              </w:rPr>
            </w:pPr>
          </w:p>
        </w:tc>
      </w:tr>
      <w:tr>
        <w:trPr>
          <w:trHeight w:val="212"/>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7,703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20,838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83,917</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12,289</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0" w:type="dxa"/>
            <w:vAlign w:val="bottom"/>
          </w:tcPr>
          <w:p>
            <w:pPr>
              <w:spacing w:after="0"/>
              <w:rPr>
                <w:sz w:val="1"/>
                <w:szCs w:val="1"/>
                <w:color w:val="auto"/>
              </w:rPr>
            </w:pPr>
          </w:p>
        </w:tc>
      </w:tr>
      <w:tr>
        <w:trPr>
          <w:trHeight w:val="183"/>
        </w:trPr>
        <w:tc>
          <w:tcPr>
            <w:tcW w:w="348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Adjusted EBITDA</w:t>
            </w: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88,650</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3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25,264</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(5,882)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1"/>
              <w:spacing w:after="0" w:line="183" w:lineRule="exact"/>
              <w:rPr>
                <w:sz w:val="20"/>
                <w:szCs w:val="20"/>
                <w:color w:val="auto"/>
              </w:rPr>
            </w:pPr>
            <w:r>
              <w:rPr>
                <w:rFonts w:ascii="Times New Roman" w:cs="Times New Roman" w:eastAsia="Times New Roman" w:hAnsi="Times New Roman"/>
                <w:sz w:val="16"/>
                <w:szCs w:val="16"/>
                <w:color w:val="auto"/>
              </w:rPr>
              <w:t>11,833</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ind w:right="2"/>
              <w:spacing w:after="0" w:line="183" w:lineRule="exact"/>
              <w:rPr>
                <w:sz w:val="20"/>
                <w:szCs w:val="20"/>
                <w:color w:val="auto"/>
              </w:rPr>
            </w:pPr>
            <w:r>
              <w:rPr>
                <w:rFonts w:ascii="Times New Roman" w:cs="Times New Roman" w:eastAsia="Times New Roman" w:hAnsi="Times New Roman"/>
                <w:sz w:val="16"/>
                <w:szCs w:val="16"/>
                <w:color w:val="auto"/>
              </w:rPr>
              <w:t>21,890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(44,937)</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3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96,818</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0"/>
        </w:trPr>
        <w:tc>
          <w:tcPr>
            <w:tcW w:w="3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2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220" w:type="dxa"/>
            <w:vAlign w:val="bottom"/>
          </w:tcPr>
          <w:p>
            <w:pPr>
              <w:spacing w:after="0"/>
              <w:rPr>
                <w:sz w:val="24"/>
                <w:szCs w:val="24"/>
                <w:color w:val="auto"/>
              </w:rPr>
            </w:pP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FLC</w:t>
            </w:r>
          </w:p>
        </w:tc>
        <w:tc>
          <w:tcPr>
            <w:tcW w:w="140" w:type="dxa"/>
            <w:vAlign w:val="bottom"/>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Economic</w:t>
            </w:r>
          </w:p>
        </w:tc>
        <w:tc>
          <w:tcPr>
            <w:tcW w:w="140" w:type="dxa"/>
            <w:vAlign w:val="bottom"/>
          </w:tcPr>
          <w:p>
            <w:pPr>
              <w:spacing w:after="0"/>
              <w:rPr>
                <w:sz w:val="24"/>
                <w:szCs w:val="24"/>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4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Strategic</w:t>
            </w:r>
          </w:p>
        </w:tc>
        <w:tc>
          <w:tcPr>
            <w:tcW w:w="120" w:type="dxa"/>
            <w:vAlign w:val="bottom"/>
          </w:tcPr>
          <w:p>
            <w:pPr>
              <w:spacing w:after="0"/>
              <w:rPr>
                <w:sz w:val="24"/>
                <w:szCs w:val="2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220" w:type="dxa"/>
            <w:vAlign w:val="bottom"/>
          </w:tcPr>
          <w:p>
            <w:pPr>
              <w:spacing w:after="0"/>
              <w:rPr>
                <w:sz w:val="24"/>
                <w:szCs w:val="24"/>
                <w:color w:val="auto"/>
              </w:rPr>
            </w:pPr>
          </w:p>
        </w:tc>
        <w:tc>
          <w:tcPr>
            <w:tcW w:w="72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Communications</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61,824</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income and other</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(2,842)</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Income tax provision</w:t>
            </w: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18,757</w:t>
            </w:r>
          </w:p>
        </w:tc>
        <w:tc>
          <w:tcPr>
            <w:tcW w:w="0" w:type="dxa"/>
            <w:vAlign w:val="bottom"/>
          </w:tcPr>
          <w:p>
            <w:pPr>
              <w:spacing w:after="0"/>
              <w:rPr>
                <w:sz w:val="1"/>
                <w:szCs w:val="1"/>
                <w:color w:val="auto"/>
              </w:rPr>
            </w:pPr>
          </w:p>
        </w:tc>
      </w:tr>
      <w:tr>
        <w:trPr>
          <w:trHeight w:val="212"/>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8,725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78,707</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10,145</w:t>
            </w: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Special charges</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1,928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3,268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25,295</w:t>
            </w:r>
          </w:p>
        </w:tc>
        <w:tc>
          <w:tcPr>
            <w:tcW w:w="0" w:type="dxa"/>
            <w:vAlign w:val="bottom"/>
          </w:tcPr>
          <w:p>
            <w:pPr>
              <w:spacing w:after="0"/>
              <w:rPr>
                <w:sz w:val="1"/>
                <w:szCs w:val="1"/>
                <w:color w:val="auto"/>
              </w:rPr>
            </w:pPr>
          </w:p>
        </w:tc>
      </w:tr>
      <w:tr>
        <w:trPr>
          <w:trHeight w:val="237"/>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55,947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37,523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11,592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12,903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115,164</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Total Adjusted Segment EBITDA</w:t>
      </w:r>
    </w:p>
    <w:p>
      <w:pPr>
        <w:spacing w:after="0" w:line="175"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We define Total Adjusted Segment EBITDA, which is a non-GAAP financial measure, as the total of Adjusted Segment EBITDA for all segments, which excludes unallocated corporate expenses. The following table reconciles net income to Total Segment Operating Income and Total Adjusted Segment EBITDA for the three months ended March 31, 2026 and 2025:</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20" w:type="dxa"/>
            <w:vAlign w:val="bottom"/>
          </w:tcPr>
          <w:p>
            <w:pPr>
              <w:spacing w:after="0"/>
              <w:rPr>
                <w:sz w:val="16"/>
                <w:szCs w:val="16"/>
                <w:color w:val="auto"/>
              </w:rPr>
            </w:pPr>
          </w:p>
        </w:tc>
      </w:tr>
      <w:tr>
        <w:trPr>
          <w:trHeight w:val="23"/>
        </w:trPr>
        <w:tc>
          <w:tcPr>
            <w:tcW w:w="68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6820" w:type="dxa"/>
            <w:vAlign w:val="bottom"/>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w w:val="92"/>
              </w:rPr>
              <w:t>2025</w:t>
            </w:r>
          </w:p>
        </w:tc>
      </w:tr>
      <w:tr>
        <w:trPr>
          <w:trHeight w:val="219"/>
        </w:trPr>
        <w:tc>
          <w:tcPr>
            <w:tcW w:w="6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80" w:type="dxa"/>
            <w:vAlign w:val="bottom"/>
            <w:gridSpan w:val="3"/>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20" w:type="dxa"/>
            <w:vAlign w:val="bottom"/>
          </w:tcPr>
          <w:p>
            <w:pPr>
              <w:spacing w:after="0"/>
              <w:rPr>
                <w:sz w:val="19"/>
                <w:szCs w:val="19"/>
                <w:color w:val="auto"/>
              </w:rPr>
            </w:pPr>
          </w:p>
        </w:tc>
      </w:tr>
      <w:tr>
        <w:trPr>
          <w:trHeight w:val="23"/>
        </w:trPr>
        <w:tc>
          <w:tcPr>
            <w:tcW w:w="6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20" w:type="dxa"/>
            <w:vAlign w:val="bottom"/>
            <w:shd w:val="clear" w:color="auto" w:fill="CFF0FC"/>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57,631</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61,824</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w:t>
            </w:r>
          </w:p>
        </w:tc>
        <w:tc>
          <w:tcPr>
            <w:tcW w:w="1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6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Income tax provision</w:t>
            </w:r>
          </w:p>
        </w:tc>
        <w:tc>
          <w:tcPr>
            <w:tcW w:w="1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20,915</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18,757</w:t>
            </w:r>
          </w:p>
        </w:tc>
      </w:tr>
      <w:tr>
        <w:trPr>
          <w:trHeight w:val="229"/>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and other</w:t>
            </w:r>
          </w:p>
        </w:tc>
        <w:tc>
          <w:tcPr>
            <w:tcW w:w="1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r>
      <w:tr>
        <w:trPr>
          <w:trHeight w:val="230"/>
        </w:trPr>
        <w:tc>
          <w:tcPr>
            <w:tcW w:w="6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6,445</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w:t>
            </w:r>
          </w:p>
        </w:tc>
      </w:tr>
      <w:tr>
        <w:trPr>
          <w:trHeight w:val="229"/>
        </w:trPr>
        <w:tc>
          <w:tcPr>
            <w:tcW w:w="682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1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45,608</w:t>
            </w:r>
          </w:p>
        </w:tc>
        <w:tc>
          <w:tcPr>
            <w:tcW w:w="1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19,757</w:t>
            </w:r>
          </w:p>
        </w:tc>
      </w:tr>
      <w:tr>
        <w:trPr>
          <w:trHeight w:val="223"/>
        </w:trPr>
        <w:tc>
          <w:tcPr>
            <w:tcW w:w="68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b w:val="1"/>
                <w:bCs w:val="1"/>
                <w:color w:val="auto"/>
              </w:rPr>
              <w:t>Total segment operating income</w:t>
            </w:r>
          </w:p>
        </w:tc>
        <w:tc>
          <w:tcPr>
            <w:tcW w:w="1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129,525</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98,464</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w:t>
            </w:r>
          </w:p>
        </w:tc>
        <w:tc>
          <w:tcPr>
            <w:tcW w:w="1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6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Segment depreciation expense</w:t>
            </w:r>
          </w:p>
        </w:tc>
        <w:tc>
          <w:tcPr>
            <w:tcW w:w="1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11,618</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9,565</w:t>
            </w:r>
          </w:p>
        </w:tc>
      </w:tr>
      <w:tr>
        <w:trPr>
          <w:trHeight w:val="230"/>
        </w:trPr>
        <w:tc>
          <w:tcPr>
            <w:tcW w:w="6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r>
      <w:tr>
        <w:trPr>
          <w:trHeight w:val="229"/>
        </w:trPr>
        <w:tc>
          <w:tcPr>
            <w:tcW w:w="6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Segment special charges</w:t>
            </w:r>
          </w:p>
        </w:tc>
        <w:tc>
          <w:tcPr>
            <w:tcW w:w="1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23,350</w:t>
            </w:r>
          </w:p>
        </w:tc>
      </w:tr>
      <w:tr>
        <w:trPr>
          <w:trHeight w:val="223"/>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Adjusted Segment EBITDA</w:t>
            </w:r>
          </w:p>
        </w:tc>
        <w:tc>
          <w:tcPr>
            <w:tcW w:w="1220" w:type="dxa"/>
            <w:vAlign w:val="bottom"/>
            <w:tcBorders>
              <w:top w:val="single" w:sz="8" w:color="auto"/>
              <w:bottom w:val="single" w:sz="8" w:color="auto"/>
            </w:tcBorders>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141,755</w:t>
            </w:r>
          </w:p>
        </w:tc>
        <w:tc>
          <w:tcPr>
            <w:tcW w:w="1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132,396</w:t>
            </w:r>
          </w:p>
        </w:tc>
      </w:tr>
      <w:tr>
        <w:trPr>
          <w:trHeight w:val="20"/>
        </w:trPr>
        <w:tc>
          <w:tcPr>
            <w:tcW w:w="68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Other Segment Operating Data</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3160" w:type="dxa"/>
            <w:vAlign w:val="bottom"/>
            <w:gridSpan w:val="3"/>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0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Number of billable professionals (at period end):</w:t>
            </w: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Finance</w:t>
            </w: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2,342</w:t>
            </w:r>
          </w:p>
        </w:tc>
        <w:tc>
          <w:tcPr>
            <w:tcW w:w="120" w:type="dxa"/>
            <w:vAlign w:val="bottom"/>
          </w:tcPr>
          <w:p>
            <w:pPr>
              <w:spacing w:after="0"/>
              <w:rPr>
                <w:sz w:val="19"/>
                <w:szCs w:val="19"/>
                <w:color w:val="auto"/>
              </w:rPr>
            </w:pPr>
          </w:p>
        </w:tc>
        <w:tc>
          <w:tcPr>
            <w:tcW w:w="1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2,249</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FLC</w:t>
            </w:r>
          </w:p>
        </w:tc>
        <w:tc>
          <w:tcPr>
            <w:tcW w:w="15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1,543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1,509</w:t>
            </w:r>
          </w:p>
        </w:tc>
        <w:tc>
          <w:tcPr>
            <w:tcW w:w="0" w:type="dxa"/>
            <w:vAlign w:val="bottom"/>
          </w:tcPr>
          <w:p>
            <w:pPr>
              <w:spacing w:after="0"/>
              <w:rPr>
                <w:sz w:val="1"/>
                <w:szCs w:val="1"/>
                <w:color w:val="auto"/>
              </w:rPr>
            </w:pPr>
          </w:p>
        </w:tc>
      </w:tr>
      <w:tr>
        <w:trPr>
          <w:trHeight w:val="230"/>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Economic Consulting</w:t>
            </w:r>
          </w:p>
        </w:tc>
        <w:tc>
          <w:tcPr>
            <w:tcW w:w="15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1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Technology </w:t>
            </w:r>
            <w:r>
              <w:rPr>
                <w:rFonts w:ascii="Times New Roman" w:cs="Times New Roman" w:eastAsia="Times New Roman" w:hAnsi="Times New Roman"/>
                <w:sz w:val="23"/>
                <w:szCs w:val="23"/>
                <w:color w:val="auto"/>
                <w:vertAlign w:val="superscript"/>
              </w:rPr>
              <w:t>(1)</w:t>
            </w:r>
          </w:p>
        </w:tc>
        <w:tc>
          <w:tcPr>
            <w:tcW w:w="15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Strategic Communications</w:t>
            </w:r>
          </w:p>
        </w:tc>
        <w:tc>
          <w:tcPr>
            <w:tcW w:w="15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917</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billable professionals</w:t>
            </w:r>
          </w:p>
        </w:tc>
        <w:tc>
          <w:tcPr>
            <w:tcW w:w="15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6,467</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6,395</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 xml:space="preserve">Utilization rates of billable professionals: </w:t>
            </w:r>
            <w:r>
              <w:rPr>
                <w:rFonts w:ascii="Times New Roman" w:cs="Times New Roman" w:eastAsia="Times New Roman" w:hAnsi="Times New Roman"/>
                <w:sz w:val="23"/>
                <w:szCs w:val="23"/>
                <w:color w:val="auto"/>
                <w:vertAlign w:val="superscript"/>
              </w:rPr>
              <w:t>(2)</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8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Finance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9"/>
        </w:trPr>
        <w:tc>
          <w:tcPr>
            <w:tcW w:w="8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FLC</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Economic Consulting</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Average billable rate per hour: </w:t>
            </w:r>
            <w:r>
              <w:rPr>
                <w:rFonts w:ascii="Times New Roman" w:cs="Times New Roman" w:eastAsia="Times New Roman" w:hAnsi="Times New Roman"/>
                <w:sz w:val="23"/>
                <w:szCs w:val="23"/>
                <w:color w:val="auto"/>
                <w:vertAlign w:val="superscript"/>
              </w:rPr>
              <w:t>(3)</w:t>
            </w:r>
          </w:p>
        </w:tc>
        <w:tc>
          <w:tcPr>
            <w:tcW w:w="3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Finance</w:t>
            </w:r>
          </w:p>
        </w:tc>
        <w:tc>
          <w:tcPr>
            <w:tcW w:w="33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545</w:t>
            </w:r>
          </w:p>
        </w:tc>
        <w:tc>
          <w:tcPr>
            <w:tcW w:w="7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493</w:t>
            </w:r>
          </w:p>
        </w:tc>
      </w:tr>
      <w:tr>
        <w:trPr>
          <w:trHeight w:val="230"/>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FLC</w:t>
            </w:r>
          </w:p>
        </w:tc>
        <w:tc>
          <w:tcPr>
            <w:tcW w:w="33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451</w:t>
            </w:r>
          </w:p>
        </w:tc>
        <w:tc>
          <w:tcPr>
            <w:tcW w:w="7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430</w:t>
            </w:r>
          </w:p>
        </w:tc>
      </w:tr>
      <w:tr>
        <w:trPr>
          <w:trHeight w:val="22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Economic Consulting</w:t>
            </w:r>
          </w:p>
        </w:tc>
        <w:tc>
          <w:tcPr>
            <w:tcW w:w="33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577</w:t>
            </w:r>
          </w:p>
        </w:tc>
        <w:tc>
          <w:tcPr>
            <w:tcW w:w="7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3798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jc w:val="both"/>
        <w:ind w:right="320" w:hanging="11"/>
        <w:spacing w:after="0" w:line="266" w:lineRule="auto"/>
        <w:rPr>
          <w:sz w:val="20"/>
          <w:szCs w:val="20"/>
          <w:color w:val="auto"/>
        </w:rPr>
      </w:pPr>
      <w:r>
        <w:rPr>
          <w:rFonts w:ascii="Times New Roman" w:cs="Times New Roman" w:eastAsia="Times New Roman" w:hAnsi="Times New Roman"/>
          <w:sz w:val="18"/>
          <w:szCs w:val="18"/>
          <w:color w:val="auto"/>
        </w:rPr>
        <w:t>The number of billable professionals for the Technology segment excludes as-needed professionals, who we employ based on demand for the segment’s services. We employed an average of 1,233 and 639 as-needed employees during the three months ended March 31, 2026 and 2025, respectively.</w:t>
      </w:r>
    </w:p>
    <w:p>
      <w:pPr>
        <w:spacing w:after="0" w:line="122" w:lineRule="exact"/>
        <w:rPr>
          <w:sz w:val="20"/>
          <w:szCs w:val="20"/>
          <w:color w:val="auto"/>
        </w:rPr>
      </w:pPr>
    </w:p>
    <w:p>
      <w:pPr>
        <w:ind w:right="20" w:hanging="11"/>
        <w:spacing w:after="0" w:line="256" w:lineRule="auto"/>
        <w:rPr>
          <w:sz w:val="20"/>
          <w:szCs w:val="20"/>
          <w:color w:val="auto"/>
        </w:rPr>
      </w:pPr>
      <w:r>
        <w:rPr>
          <w:rFonts w:ascii="Times New Roman" w:cs="Times New Roman" w:eastAsia="Times New Roman" w:hAnsi="Times New Roman"/>
          <w:sz w:val="18"/>
          <w:szCs w:val="18"/>
          <w:color w:val="auto"/>
        </w:rPr>
        <w:t>We calculate the utilization rate for our billable professionals by dividing the number of hours that all of our billable professionals worked on client assignments during a period by the total available working hours for all of our billable professionals during the same period. Available hours are determined by the standard hours worked by each employee, adjusted for part-time hours, U.S. standard work weeks and local country holidays. Available working hours include vacation and professional training days, but exclude local country holidays. Utilization rates are presented for our segments that primarily bill clients on an hourly basis. We have not presented utilization rates for our Technology and Strategic Communications segments as most of the revenues of these segments are not generated on an hourly basis.</w:t>
      </w:r>
    </w:p>
    <w:p>
      <w:pPr>
        <w:spacing w:after="0" w:line="133" w:lineRule="exact"/>
        <w:rPr>
          <w:sz w:val="20"/>
          <w:szCs w:val="20"/>
          <w:color w:val="auto"/>
        </w:rPr>
      </w:pPr>
    </w:p>
    <w:p>
      <w:pPr>
        <w:ind w:right="40" w:hanging="11"/>
        <w:spacing w:after="0" w:line="261" w:lineRule="auto"/>
        <w:rPr>
          <w:sz w:val="20"/>
          <w:szCs w:val="20"/>
          <w:color w:val="auto"/>
        </w:rPr>
      </w:pPr>
      <w:r>
        <w:rPr>
          <w:rFonts w:ascii="Times New Roman" w:cs="Times New Roman" w:eastAsia="Times New Roman" w:hAnsi="Times New Roman"/>
          <w:sz w:val="18"/>
          <w:szCs w:val="18"/>
          <w:color w:val="auto"/>
        </w:rPr>
        <w:t>For engagements where revenues are based on number of hours worked by our billable professionals and fixed-fee arrangements, average billable rate per hour is calculated by dividing revenues (excluding revenues from success fees, pass-through revenues and outside consultants) for a period by the number of hours worked on client assignments during the same period. We have not presented average billable rates per hour for our Technology and Strategic Communications segments as most of the revenues of these segments are not based on billable hours.</w:t>
      </w:r>
    </w:p>
    <w:p>
      <w:pPr>
        <w:spacing w:after="0" w:line="200" w:lineRule="exact"/>
        <w:rPr>
          <w:sz w:val="20"/>
          <w:szCs w:val="20"/>
          <w:color w:val="auto"/>
        </w:rPr>
      </w:pPr>
    </w:p>
    <w:p>
      <w:pPr>
        <w:sectPr>
          <w:pgSz w:w="11900" w:h="16838" w:orient="portrait"/>
          <w:cols w:equalWidth="0" w:num="2">
            <w:col w:w="140" w:space="520"/>
            <w:col w:w="10580"/>
          </w:cols>
          <w:pgMar w:left="320" w:top="887" w:right="339" w:bottom="1440" w:gutter="0" w:footer="0" w:header="0"/>
          <w:type w:val="continuous"/>
        </w:sect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CORPORATE FINANCE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center"/>
              <w:ind w:right="27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77"/>
        </w:trPr>
        <w:tc>
          <w:tcPr>
            <w:tcW w:w="8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00" w:type="dxa"/>
            <w:vAlign w:val="bottom"/>
            <w:gridSpan w:val="3"/>
          </w:tcPr>
          <w:p>
            <w:pPr>
              <w:jc w:val="center"/>
              <w:ind w:left="49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20" w:type="dxa"/>
            <w:vAlign w:val="bottom"/>
          </w:tcPr>
          <w:p>
            <w:pPr>
              <w:spacing w:after="0"/>
              <w:rPr>
                <w:sz w:val="15"/>
                <w:szCs w:val="15"/>
                <w:color w:val="auto"/>
              </w:rPr>
            </w:pPr>
          </w:p>
        </w:tc>
      </w:tr>
      <w:tr>
        <w:trPr>
          <w:trHeight w:val="195"/>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gridSpan w:val="3"/>
          </w:tcPr>
          <w:p>
            <w:pPr>
              <w:jc w:val="center"/>
              <w:ind w:left="473"/>
              <w:spacing w:after="0"/>
              <w:rPr>
                <w:sz w:val="20"/>
                <w:szCs w:val="20"/>
                <w:color w:val="auto"/>
              </w:rPr>
            </w:pPr>
            <w:r>
              <w:rPr>
                <w:rFonts w:ascii="Times New Roman" w:cs="Times New Roman" w:eastAsia="Times New Roman" w:hAnsi="Times New Roman"/>
                <w:sz w:val="14"/>
                <w:szCs w:val="14"/>
                <w:b w:val="1"/>
                <w:bCs w:val="1"/>
                <w:color w:val="auto"/>
              </w:rPr>
              <w:t>except rate per hour)</w:t>
            </w:r>
          </w:p>
        </w:tc>
        <w:tc>
          <w:tcPr>
            <w:tcW w:w="920" w:type="dxa"/>
            <w:vAlign w:val="bottom"/>
          </w:tcPr>
          <w:p>
            <w:pPr>
              <w:spacing w:after="0"/>
              <w:rPr>
                <w:sz w:val="16"/>
                <w:szCs w:val="16"/>
                <w:color w:val="auto"/>
              </w:rPr>
            </w:pPr>
          </w:p>
        </w:tc>
      </w:tr>
      <w:tr>
        <w:trPr>
          <w:trHeight w:val="234"/>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409,502</w:t>
            </w:r>
          </w:p>
        </w:tc>
        <w:tc>
          <w:tcPr>
            <w:tcW w:w="100" w:type="dxa"/>
            <w:vAlign w:val="bottom"/>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343,645</w:t>
            </w:r>
          </w:p>
        </w:tc>
      </w:tr>
      <w:tr>
        <w:trPr>
          <w:trHeight w:val="223"/>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Percentage change in revenues from prior year</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 cost of revenues</w:t>
            </w: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262,435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231,572</w:t>
            </w:r>
          </w:p>
        </w:tc>
      </w:tr>
      <w:tr>
        <w:trPr>
          <w:trHeight w:val="22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61,522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58,708</w:t>
            </w:r>
          </w:p>
        </w:tc>
      </w:tr>
      <w:tr>
        <w:trPr>
          <w:trHeight w:val="229"/>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Special charges</w:t>
            </w:r>
          </w:p>
        </w:tc>
        <w:tc>
          <w:tcPr>
            <w:tcW w:w="3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11,696</w:t>
            </w:r>
          </w:p>
        </w:tc>
      </w:tr>
      <w:tr>
        <w:trPr>
          <w:trHeight w:val="230"/>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719</w:t>
            </w:r>
          </w:p>
        </w:tc>
      </w:tr>
      <w:tr>
        <w:trPr>
          <w:trHeight w:val="223"/>
        </w:trPr>
        <w:tc>
          <w:tcPr>
            <w:tcW w:w="80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324,272</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302,695</w:t>
            </w:r>
          </w:p>
        </w:tc>
      </w:tr>
      <w:tr>
        <w:trPr>
          <w:trHeight w:val="223"/>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85,230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40,950</w:t>
            </w:r>
          </w:p>
        </w:tc>
      </w:tr>
      <w:tr>
        <w:trPr>
          <w:trHeight w:val="229"/>
        </w:trPr>
        <w:tc>
          <w:tcPr>
            <w:tcW w:w="8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Percentage change in segment operating income from prior year</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30"/>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 back:</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3,420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3,301</w:t>
            </w:r>
          </w:p>
        </w:tc>
      </w:tr>
      <w:tr>
        <w:trPr>
          <w:trHeight w:val="229"/>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Special charges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11,696</w:t>
            </w:r>
          </w:p>
        </w:tc>
      </w:tr>
      <w:tr>
        <w:trPr>
          <w:trHeight w:val="223"/>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Adjusted Segment EBITDA</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88,650</w:t>
            </w:r>
          </w:p>
        </w:tc>
        <w:tc>
          <w:tcPr>
            <w:tcW w:w="1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55,947</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Gross profit </w:t>
            </w:r>
            <w:r>
              <w:rPr>
                <w:rFonts w:ascii="Times New Roman" w:cs="Times New Roman" w:eastAsia="Times New Roman" w:hAnsi="Times New Roman"/>
                <w:sz w:val="10"/>
                <w:szCs w:val="10"/>
                <w:color w:val="auto"/>
              </w:rPr>
              <w:t>(1)</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147,067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112,073</w:t>
            </w: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Percentage change in gross profit from prior year</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Gross profit margin </w:t>
            </w:r>
            <w:r>
              <w:rPr>
                <w:rFonts w:ascii="Times New Roman" w:cs="Times New Roman" w:eastAsia="Times New Roman" w:hAnsi="Times New Roman"/>
                <w:sz w:val="10"/>
                <w:szCs w:val="10"/>
                <w:color w:val="auto"/>
              </w:rPr>
              <w:t>(2)</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Segment EBITDA as a percentage of revenues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billable professionals (at period end)</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2,249</w:t>
            </w: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Percentage change in number of billable professionals from prior year</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Utilization rate of billable professionals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4"/>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billable rate per hour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20"/>
                <w:szCs w:val="20"/>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3798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less direct cost of revenues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as a percentage of revenues</w:t>
      </w:r>
    </w:p>
    <w:p>
      <w:pPr>
        <w:spacing w:after="0" w:line="149" w:lineRule="exact"/>
        <w:rPr>
          <w:sz w:val="20"/>
          <w:szCs w:val="20"/>
          <w:color w:val="auto"/>
        </w:rPr>
      </w:pPr>
    </w:p>
    <w:p>
      <w:pPr>
        <w:sectPr>
          <w:pgSz w:w="11900" w:h="16838" w:orient="portrait"/>
          <w:cols w:equalWidth="0" w:num="2">
            <w:col w:w="140" w:space="500"/>
            <w:col w:w="10600"/>
          </w:cols>
          <w:pgMar w:left="320" w:top="88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 Compared to Three Months Ended March 31, 2025</w:t>
      </w:r>
    </w:p>
    <w:p>
      <w:pPr>
        <w:spacing w:after="0" w:line="175" w:lineRule="exact"/>
        <w:rPr>
          <w:sz w:val="20"/>
          <w:szCs w:val="20"/>
          <w:color w:val="auto"/>
        </w:rPr>
      </w:pPr>
    </w:p>
    <w:p>
      <w:pPr>
        <w:jc w:val="both"/>
        <w:ind w:right="380" w:firstLine="486"/>
        <w:spacing w:after="0" w:line="266" w:lineRule="auto"/>
        <w:rPr>
          <w:sz w:val="20"/>
          <w:szCs w:val="20"/>
          <w:color w:val="auto"/>
        </w:rPr>
      </w:pPr>
      <w:r>
        <w:rPr>
          <w:rFonts w:ascii="Times New Roman" w:cs="Times New Roman" w:eastAsia="Times New Roman" w:hAnsi="Times New Roman"/>
          <w:sz w:val="18"/>
          <w:szCs w:val="18"/>
          <w:color w:val="auto"/>
        </w:rPr>
        <w:t>Revenues increased $65.9 million, or 19.2%, to $409.5 million for the three months ended March 31, 2026, primarily due to higher demand and realized bill rates for our turnaround &amp; restructuring, transactions and transformation services. Excluding an estimated 2.5% positive impact from FX, revenues increased $57.4 million, or 16.7%.</w:t>
      </w:r>
    </w:p>
    <w:p>
      <w:pPr>
        <w:spacing w:after="0" w:line="122" w:lineRule="exact"/>
        <w:rPr>
          <w:sz w:val="20"/>
          <w:szCs w:val="20"/>
          <w:color w:val="auto"/>
        </w:rPr>
      </w:pPr>
    </w:p>
    <w:p>
      <w:pPr>
        <w:jc w:val="both"/>
        <w:ind w:right="340" w:firstLine="486"/>
        <w:spacing w:after="0" w:line="266" w:lineRule="auto"/>
        <w:rPr>
          <w:sz w:val="20"/>
          <w:szCs w:val="20"/>
          <w:color w:val="auto"/>
        </w:rPr>
      </w:pPr>
      <w:r>
        <w:rPr>
          <w:rFonts w:ascii="Times New Roman" w:cs="Times New Roman" w:eastAsia="Times New Roman" w:hAnsi="Times New Roman"/>
          <w:sz w:val="18"/>
          <w:szCs w:val="18"/>
          <w:color w:val="auto"/>
        </w:rPr>
        <w:t>Gross profit increased $35.0 million, or 31.2%, to $147.1 million for the three months ended March 31, 2026. Gross profit margin increased 3.3 percentage points for the three months ended March 31, 2026. The increase in gross profit margin was primarily due to a 5 percentage point increase in utilization and higher realized bill rates.</w:t>
      </w:r>
    </w:p>
    <w:p>
      <w:pPr>
        <w:spacing w:after="0" w:line="122" w:lineRule="exact"/>
        <w:rPr>
          <w:sz w:val="20"/>
          <w:szCs w:val="20"/>
          <w:color w:val="auto"/>
        </w:rPr>
      </w:pPr>
    </w:p>
    <w:p>
      <w:pPr>
        <w:ind w:right="360" w:firstLine="486"/>
        <w:spacing w:after="0" w:line="261" w:lineRule="auto"/>
        <w:rPr>
          <w:sz w:val="20"/>
          <w:szCs w:val="20"/>
          <w:color w:val="auto"/>
        </w:rPr>
      </w:pPr>
      <w:r>
        <w:rPr>
          <w:rFonts w:ascii="Times New Roman" w:cs="Times New Roman" w:eastAsia="Times New Roman" w:hAnsi="Times New Roman"/>
          <w:sz w:val="18"/>
          <w:szCs w:val="18"/>
          <w:color w:val="auto"/>
        </w:rPr>
        <w:t>SG&amp;A expenses increased $2.8 million, or 4.8%, to $61.5 million for the three months ended March 31, 2026, primarily due to higher outside services, travel and entertainment and compensation expenses, which was partially offset by lower bad debt expenses. The increase in SG&amp;A expenses included an estimated 2.8% negative impact from FX. SG&amp;A expenses of 15.0% of revenues for the three months ended March 31, 2026 compared to 17.1% of revenues for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6" w:name="page27"/>
    <w:bookmarkEnd w:id="26"/>
    <w:p>
      <w:pPr>
        <w:ind w:left="100"/>
        <w:spacing w:after="0"/>
        <w:rPr>
          <w:sz w:val="20"/>
          <w:szCs w:val="20"/>
          <w:color w:val="auto"/>
        </w:rPr>
      </w:pPr>
      <w:r>
        <w:rPr>
          <w:rFonts w:ascii="Times New Roman" w:cs="Times New Roman" w:eastAsia="Times New Roman" w:hAnsi="Times New Roman"/>
          <w:sz w:val="18"/>
          <w:szCs w:val="18"/>
          <w:b w:val="1"/>
          <w:bCs w:val="1"/>
          <w:color w:val="auto"/>
        </w:rPr>
        <w:t>FORENSIC AND LITIGATION CONSULTING</w:t>
      </w:r>
    </w:p>
    <w:p>
      <w:pPr>
        <w:spacing w:after="0" w:line="263"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center"/>
              <w:ind w:right="27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77"/>
        </w:trPr>
        <w:tc>
          <w:tcPr>
            <w:tcW w:w="8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00" w:type="dxa"/>
            <w:vAlign w:val="bottom"/>
            <w:gridSpan w:val="3"/>
          </w:tcPr>
          <w:p>
            <w:pPr>
              <w:jc w:val="center"/>
              <w:ind w:left="45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20" w:type="dxa"/>
            <w:vAlign w:val="bottom"/>
          </w:tcPr>
          <w:p>
            <w:pPr>
              <w:spacing w:after="0"/>
              <w:rPr>
                <w:sz w:val="15"/>
                <w:szCs w:val="15"/>
                <w:color w:val="auto"/>
              </w:rPr>
            </w:pPr>
          </w:p>
        </w:tc>
      </w:tr>
      <w:tr>
        <w:trPr>
          <w:trHeight w:val="195"/>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gridSpan w:val="3"/>
          </w:tcPr>
          <w:p>
            <w:pPr>
              <w:jc w:val="center"/>
              <w:ind w:left="473"/>
              <w:spacing w:after="0"/>
              <w:rPr>
                <w:sz w:val="20"/>
                <w:szCs w:val="20"/>
                <w:color w:val="auto"/>
              </w:rPr>
            </w:pPr>
            <w:r>
              <w:rPr>
                <w:rFonts w:ascii="Times New Roman" w:cs="Times New Roman" w:eastAsia="Times New Roman" w:hAnsi="Times New Roman"/>
                <w:sz w:val="14"/>
                <w:szCs w:val="14"/>
                <w:b w:val="1"/>
                <w:bCs w:val="1"/>
                <w:color w:val="auto"/>
              </w:rPr>
              <w:t>except rate per hour)</w:t>
            </w:r>
          </w:p>
        </w:tc>
        <w:tc>
          <w:tcPr>
            <w:tcW w:w="920" w:type="dxa"/>
            <w:vAlign w:val="bottom"/>
          </w:tcPr>
          <w:p>
            <w:pPr>
              <w:spacing w:after="0"/>
              <w:rPr>
                <w:sz w:val="16"/>
                <w:szCs w:val="16"/>
                <w:color w:val="auto"/>
              </w:rPr>
            </w:pPr>
          </w:p>
        </w:tc>
      </w:tr>
      <w:tr>
        <w:trPr>
          <w:trHeight w:val="234"/>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192,878</w:t>
            </w:r>
          </w:p>
        </w:tc>
        <w:tc>
          <w:tcPr>
            <w:tcW w:w="100" w:type="dxa"/>
            <w:vAlign w:val="bottom"/>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190,602</w:t>
            </w:r>
          </w:p>
        </w:tc>
      </w:tr>
      <w:tr>
        <w:trPr>
          <w:trHeight w:val="223"/>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Percentage change in revenues from prior year</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 cost of revenues</w:t>
            </w: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127,413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117,961</w:t>
            </w:r>
          </w:p>
        </w:tc>
      </w:tr>
      <w:tr>
        <w:trPr>
          <w:trHeight w:val="22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42,151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36,831</w:t>
            </w:r>
          </w:p>
        </w:tc>
      </w:tr>
      <w:tr>
        <w:trPr>
          <w:trHeight w:val="229"/>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Special charges</w:t>
            </w:r>
          </w:p>
        </w:tc>
        <w:tc>
          <w:tcPr>
            <w:tcW w:w="3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5,475</w:t>
            </w:r>
          </w:p>
        </w:tc>
      </w:tr>
      <w:tr>
        <w:trPr>
          <w:trHeight w:val="230"/>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229</w:t>
            </w:r>
          </w:p>
        </w:tc>
      </w:tr>
      <w:tr>
        <w:trPr>
          <w:trHeight w:val="223"/>
        </w:trPr>
        <w:tc>
          <w:tcPr>
            <w:tcW w:w="80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169,793</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160,496</w:t>
            </w:r>
          </w:p>
        </w:tc>
      </w:tr>
      <w:tr>
        <w:trPr>
          <w:trHeight w:val="223"/>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23,085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30,106</w:t>
            </w:r>
          </w:p>
        </w:tc>
      </w:tr>
      <w:tr>
        <w:trPr>
          <w:trHeight w:val="229"/>
        </w:trPr>
        <w:tc>
          <w:tcPr>
            <w:tcW w:w="8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Percentage change in segment operating income from prior year</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 back:</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2,179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1,942</w:t>
            </w:r>
          </w:p>
        </w:tc>
      </w:tr>
      <w:tr>
        <w:trPr>
          <w:trHeight w:val="229"/>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Special charges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5,475</w:t>
            </w:r>
          </w:p>
        </w:tc>
      </w:tr>
      <w:tr>
        <w:trPr>
          <w:trHeight w:val="223"/>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Adjusted Segment EBITDA</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25,264</w:t>
            </w:r>
          </w:p>
        </w:tc>
        <w:tc>
          <w:tcPr>
            <w:tcW w:w="1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37,523</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Gross profit </w:t>
            </w:r>
            <w:r>
              <w:rPr>
                <w:rFonts w:ascii="Times New Roman" w:cs="Times New Roman" w:eastAsia="Times New Roman" w:hAnsi="Times New Roman"/>
                <w:sz w:val="10"/>
                <w:szCs w:val="10"/>
                <w:color w:val="auto"/>
              </w:rPr>
              <w:t>(1)</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65,465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72,641</w:t>
            </w: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Percentage change in gross profit from prior year</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Gross profit margin </w:t>
            </w:r>
            <w:r>
              <w:rPr>
                <w:rFonts w:ascii="Times New Roman" w:cs="Times New Roman" w:eastAsia="Times New Roman" w:hAnsi="Times New Roman"/>
                <w:sz w:val="10"/>
                <w:szCs w:val="10"/>
                <w:color w:val="auto"/>
              </w:rPr>
              <w:t>(2)</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Segment EBITDA as a percentage of revenues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billable professionals (at period end)</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1,509</w:t>
            </w: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Percentage change in number of billable professionals from prior year</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Utilization rate of billable professionals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4"/>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billable rate per hour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20"/>
                <w:szCs w:val="20"/>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211455</wp:posOffset>
            </wp:positionV>
            <wp:extent cx="13798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ectPr>
          <w:pgSz w:w="11900" w:h="16838" w:orient="portrait"/>
          <w:cols w:equalWidth="0" w:num="1">
            <w:col w:w="11340"/>
          </w:cols>
          <w:pgMar w:left="220" w:top="887"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(1)</w:t>
      </w:r>
    </w:p>
    <w:p>
      <w:pPr>
        <w:spacing w:after="0" w:line="7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less direct cost of revenues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as a percentage of revenues</w:t>
      </w:r>
    </w:p>
    <w:p>
      <w:pPr>
        <w:spacing w:after="0" w:line="149" w:lineRule="exact"/>
        <w:rPr>
          <w:sz w:val="20"/>
          <w:szCs w:val="20"/>
          <w:color w:val="auto"/>
        </w:rPr>
      </w:pPr>
    </w:p>
    <w:p>
      <w:pPr>
        <w:sectPr>
          <w:pgSz w:w="11900" w:h="16838" w:orient="portrait"/>
          <w:cols w:equalWidth="0" w:num="2">
            <w:col w:w="240" w:space="500"/>
            <w:col w:w="10600"/>
          </w:cols>
          <w:pgMar w:left="220" w:top="88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 Compared to Three Months Ended March 31, 2025</w:t>
      </w:r>
    </w:p>
    <w:p>
      <w:pPr>
        <w:spacing w:after="0" w:line="175" w:lineRule="exact"/>
        <w:rPr>
          <w:sz w:val="20"/>
          <w:szCs w:val="20"/>
          <w:color w:val="auto"/>
        </w:rPr>
      </w:pPr>
    </w:p>
    <w:p>
      <w:pPr>
        <w:jc w:val="both"/>
        <w:ind w:left="100" w:right="160" w:firstLine="486"/>
        <w:spacing w:after="0" w:line="266" w:lineRule="auto"/>
        <w:rPr>
          <w:sz w:val="20"/>
          <w:szCs w:val="20"/>
          <w:color w:val="auto"/>
        </w:rPr>
      </w:pPr>
      <w:r>
        <w:rPr>
          <w:rFonts w:ascii="Times New Roman" w:cs="Times New Roman" w:eastAsia="Times New Roman" w:hAnsi="Times New Roman"/>
          <w:sz w:val="18"/>
          <w:szCs w:val="18"/>
          <w:color w:val="auto"/>
        </w:rPr>
        <w:t>Revenues increased $2.3 million, or 1.2%, to $192.9 million for the three months ended March 31, 2026, primarily due to higher realized bill rates for our risk &amp; investigations and construction solutions services, which was partially offset by lower demand for our dispute advisory services. Excluding an estimated 2.1% positive impact from FX, revenues decreased $1.7 million, or 0.9%.</w:t>
      </w:r>
    </w:p>
    <w:p>
      <w:pPr>
        <w:spacing w:after="0" w:line="122" w:lineRule="exact"/>
        <w:rPr>
          <w:sz w:val="20"/>
          <w:szCs w:val="20"/>
          <w:color w:val="auto"/>
        </w:rPr>
      </w:pPr>
    </w:p>
    <w:p>
      <w:pPr>
        <w:ind w:left="100" w:right="280" w:firstLine="486"/>
        <w:spacing w:after="0" w:line="266" w:lineRule="auto"/>
        <w:rPr>
          <w:sz w:val="20"/>
          <w:szCs w:val="20"/>
          <w:color w:val="auto"/>
        </w:rPr>
      </w:pPr>
      <w:r>
        <w:rPr>
          <w:rFonts w:ascii="Times New Roman" w:cs="Times New Roman" w:eastAsia="Times New Roman" w:hAnsi="Times New Roman"/>
          <w:sz w:val="18"/>
          <w:szCs w:val="18"/>
          <w:color w:val="auto"/>
        </w:rPr>
        <w:t>Gross profit decreased $7.2 million, or 9.9%, to $65.5 million for the three months ended March 31, 2026. Gross profit margin decreased 4.2 percentage points for the three months ended March 31, 2026. The decrease in gross profit margin was primarily due to a 2 percentage point decrease in utilization, which was partially offset by higher realized bill rates.</w:t>
      </w:r>
    </w:p>
    <w:p>
      <w:pPr>
        <w:spacing w:after="0" w:line="122" w:lineRule="exact"/>
        <w:rPr>
          <w:sz w:val="20"/>
          <w:szCs w:val="20"/>
          <w:color w:val="auto"/>
        </w:rPr>
      </w:pPr>
    </w:p>
    <w:p>
      <w:pPr>
        <w:ind w:left="100" w:right="100" w:firstLine="486"/>
        <w:spacing w:after="0" w:line="266" w:lineRule="auto"/>
        <w:rPr>
          <w:sz w:val="20"/>
          <w:szCs w:val="20"/>
          <w:color w:val="auto"/>
        </w:rPr>
      </w:pPr>
      <w:r>
        <w:rPr>
          <w:rFonts w:ascii="Times New Roman" w:cs="Times New Roman" w:eastAsia="Times New Roman" w:hAnsi="Times New Roman"/>
          <w:sz w:val="18"/>
          <w:szCs w:val="18"/>
          <w:color w:val="auto"/>
        </w:rPr>
        <w:t>SG&amp;A expenses increased $5.3 million, or 14.4%, to $42.2 million for the three months ended March 31, 2026, primarily due to higher hiring-related, bad debt, and travel and entertainment expenses. The increase in SG&amp;A expenses included an estimated 2.1% negative impact from FX. SG&amp;A expenses were 21.9% of revenues for the three months ended March 31, 2026 compared to 19.3% of revenues for the three months ended March 31, 2025.</w:t>
      </w: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887"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ECONOMIC CONSULTING</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center"/>
              <w:ind w:right="27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77"/>
        </w:trPr>
        <w:tc>
          <w:tcPr>
            <w:tcW w:w="8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00" w:type="dxa"/>
            <w:vAlign w:val="bottom"/>
            <w:gridSpan w:val="3"/>
          </w:tcPr>
          <w:p>
            <w:pPr>
              <w:jc w:val="center"/>
              <w:ind w:left="45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gridSpan w:val="3"/>
          </w:tcPr>
          <w:p>
            <w:pPr>
              <w:jc w:val="center"/>
              <w:ind w:left="473"/>
              <w:spacing w:after="0"/>
              <w:rPr>
                <w:sz w:val="20"/>
                <w:szCs w:val="20"/>
                <w:color w:val="auto"/>
              </w:rPr>
            </w:pPr>
            <w:r>
              <w:rPr>
                <w:rFonts w:ascii="Times New Roman" w:cs="Times New Roman" w:eastAsia="Times New Roman" w:hAnsi="Times New Roman"/>
                <w:sz w:val="14"/>
                <w:szCs w:val="14"/>
                <w:b w:val="1"/>
                <w:bCs w:val="1"/>
                <w:color w:val="auto"/>
              </w:rPr>
              <w:t>except rate per hour)</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175,648</w:t>
            </w:r>
          </w:p>
        </w:tc>
        <w:tc>
          <w:tcPr>
            <w:tcW w:w="100" w:type="dxa"/>
            <w:vAlign w:val="bottom"/>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179,861</w:t>
            </w:r>
          </w:p>
        </w:tc>
        <w:tc>
          <w:tcPr>
            <w:tcW w:w="0" w:type="dxa"/>
            <w:vAlign w:val="bottom"/>
          </w:tcPr>
          <w:p>
            <w:pPr>
              <w:spacing w:after="0"/>
              <w:rPr>
                <w:sz w:val="1"/>
                <w:szCs w:val="1"/>
                <w:color w:val="auto"/>
              </w:rPr>
            </w:pPr>
          </w:p>
        </w:tc>
      </w:tr>
      <w:tr>
        <w:trPr>
          <w:trHeight w:val="223"/>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Percentage change in revenues from prior year</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 cost of revenues</w:t>
            </w: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155,075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138,445</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27,904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28,344</w:t>
            </w:r>
          </w:p>
        </w:tc>
        <w:tc>
          <w:tcPr>
            <w:tcW w:w="0" w:type="dxa"/>
            <w:vAlign w:val="bottom"/>
          </w:tcPr>
          <w:p>
            <w:pPr>
              <w:spacing w:after="0"/>
              <w:rPr>
                <w:sz w:val="1"/>
                <w:szCs w:val="1"/>
                <w:color w:val="auto"/>
              </w:rPr>
            </w:pPr>
          </w:p>
        </w:tc>
      </w:tr>
      <w:tr>
        <w:trPr>
          <w:trHeight w:val="229"/>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Special charges</w:t>
            </w:r>
          </w:p>
        </w:tc>
        <w:tc>
          <w:tcPr>
            <w:tcW w:w="3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23"/>
        </w:trPr>
        <w:tc>
          <w:tcPr>
            <w:tcW w:w="80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182,979</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167,772</w:t>
            </w:r>
          </w:p>
        </w:tc>
        <w:tc>
          <w:tcPr>
            <w:tcW w:w="0" w:type="dxa"/>
            <w:vAlign w:val="bottom"/>
          </w:tcPr>
          <w:p>
            <w:pPr>
              <w:spacing w:after="0"/>
              <w:rPr>
                <w:sz w:val="1"/>
                <w:szCs w:val="1"/>
                <w:color w:val="auto"/>
              </w:rPr>
            </w:pPr>
          </w:p>
        </w:tc>
      </w:tr>
      <w:tr>
        <w:trPr>
          <w:trHeight w:val="223"/>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360" w:type="dxa"/>
            <w:vAlign w:val="bottom"/>
          </w:tcPr>
          <w:p>
            <w:pPr>
              <w:spacing w:after="0"/>
              <w:rPr>
                <w:sz w:val="19"/>
                <w:szCs w:val="19"/>
                <w:color w:val="auto"/>
              </w:rPr>
            </w:pP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(7,331)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12,089</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Percentage change in segment operating income (loss) from prior year</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9"/>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 back:</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29"/>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Special charges</w:t>
            </w:r>
          </w:p>
        </w:tc>
        <w:tc>
          <w:tcPr>
            <w:tcW w:w="36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48"/>
        </w:trPr>
        <w:tc>
          <w:tcPr>
            <w:tcW w:w="806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Adjusted Segment EBITDA</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(5,882)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14,431</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Gross profit </w:t>
            </w:r>
            <w:r>
              <w:rPr>
                <w:rFonts w:ascii="Times New Roman" w:cs="Times New Roman" w:eastAsia="Times New Roman" w:hAnsi="Times New Roman"/>
                <w:sz w:val="10"/>
                <w:szCs w:val="10"/>
                <w:color w:val="auto"/>
              </w:rPr>
              <w:t>(1)</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36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3"/>
              <w:spacing w:after="0" w:line="203" w:lineRule="exact"/>
              <w:rPr>
                <w:sz w:val="20"/>
                <w:szCs w:val="20"/>
                <w:color w:val="auto"/>
              </w:rPr>
            </w:pPr>
            <w:r>
              <w:rPr>
                <w:rFonts w:ascii="Times New Roman" w:cs="Times New Roman" w:eastAsia="Times New Roman" w:hAnsi="Times New Roman"/>
                <w:sz w:val="18"/>
                <w:szCs w:val="18"/>
                <w:color w:val="auto"/>
              </w:rPr>
              <w:t>20,573</w:t>
            </w:r>
          </w:p>
        </w:tc>
        <w:tc>
          <w:tcPr>
            <w:tcW w:w="100" w:type="dxa"/>
            <w:vAlign w:val="bottom"/>
          </w:tcPr>
          <w:p>
            <w:pPr>
              <w:spacing w:after="0"/>
              <w:rPr>
                <w:sz w:val="17"/>
                <w:szCs w:val="17"/>
                <w:color w:val="auto"/>
              </w:rPr>
            </w:pPr>
          </w:p>
        </w:tc>
        <w:tc>
          <w:tcPr>
            <w:tcW w:w="620" w:type="dxa"/>
            <w:vAlign w:val="bottom"/>
          </w:tcPr>
          <w:p>
            <w:pPr>
              <w:jc w:val="right"/>
              <w:ind w:right="4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1"/>
              <w:spacing w:after="0" w:line="203" w:lineRule="exact"/>
              <w:rPr>
                <w:sz w:val="20"/>
                <w:szCs w:val="20"/>
                <w:color w:val="auto"/>
              </w:rPr>
            </w:pPr>
            <w:r>
              <w:rPr>
                <w:rFonts w:ascii="Times New Roman" w:cs="Times New Roman" w:eastAsia="Times New Roman" w:hAnsi="Times New Roman"/>
                <w:sz w:val="18"/>
                <w:szCs w:val="18"/>
                <w:color w:val="auto"/>
              </w:rPr>
              <w:t>41,416</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Percentage change in gross profit from prior year</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Gross profit margin </w:t>
            </w:r>
            <w:r>
              <w:rPr>
                <w:rFonts w:ascii="Times New Roman" w:cs="Times New Roman" w:eastAsia="Times New Roman" w:hAnsi="Times New Roman"/>
                <w:sz w:val="10"/>
                <w:szCs w:val="10"/>
                <w:color w:val="auto"/>
              </w:rPr>
              <w:t>(2)</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Segment EBITDA as a percentage of revenues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billable professionals (at period end)</w:t>
            </w: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Percentage change in number of billable professionals from prior year</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Utilization rate of billable professionals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billable rate per hour</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3798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less direct cost of revenues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as a percentage of revenues</w:t>
      </w:r>
    </w:p>
    <w:p>
      <w:pPr>
        <w:spacing w:after="0" w:line="149" w:lineRule="exact"/>
        <w:rPr>
          <w:sz w:val="20"/>
          <w:szCs w:val="20"/>
          <w:color w:val="auto"/>
        </w:rPr>
      </w:pPr>
    </w:p>
    <w:p>
      <w:pPr>
        <w:sectPr>
          <w:pgSz w:w="11900" w:h="16838" w:orient="portrait"/>
          <w:cols w:equalWidth="0" w:num="2">
            <w:col w:w="140" w:space="500"/>
            <w:col w:w="10600"/>
          </w:cols>
          <w:pgMar w:left="320" w:top="88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 Compared to Three Months Ended March 31, 2025</w:t>
      </w:r>
    </w:p>
    <w:p>
      <w:pPr>
        <w:spacing w:after="0" w:line="175" w:lineRule="exact"/>
        <w:rPr>
          <w:sz w:val="20"/>
          <w:szCs w:val="20"/>
          <w:color w:val="auto"/>
        </w:rPr>
      </w:pPr>
    </w:p>
    <w:p>
      <w:pPr>
        <w:jc w:val="both"/>
        <w:ind w:right="360" w:firstLine="486"/>
        <w:spacing w:after="0" w:line="266" w:lineRule="auto"/>
        <w:rPr>
          <w:sz w:val="20"/>
          <w:szCs w:val="20"/>
          <w:color w:val="auto"/>
        </w:rPr>
      </w:pPr>
      <w:r>
        <w:rPr>
          <w:rFonts w:ascii="Times New Roman" w:cs="Times New Roman" w:eastAsia="Times New Roman" w:hAnsi="Times New Roman"/>
          <w:sz w:val="18"/>
          <w:szCs w:val="18"/>
          <w:color w:val="auto"/>
        </w:rPr>
        <w:t>Revenues decreased $4.2 million, or 2.3%, to $175.6 million for the three months ended March 31, 2026, primarily due to lower demand for our non-M&amp;A-related antitrust services, which was partially offset by higher demand for our financial economics and M&amp;A-related antitrust services, and higher realized bill rates. Excluding an estimated 3.4% positive impact from FX, revenues decreased $10.3 million, or 5.7%.</w:t>
      </w:r>
    </w:p>
    <w:p>
      <w:pPr>
        <w:spacing w:after="0" w:line="122"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Gross profit decreased $20.8 million, or 50.3%, to $20.6 million for the three months ended March 31, 2026. Gross profit margin decreased 11.3 percentage points for the three months ended March 31, 2026. The decrease in gross profit margin was primarily due to higher forgivable loan amortization, variable compensation and outside consultant expenses as a percentage of revenues, which was partially offset by higher realized bill rates.</w:t>
      </w:r>
    </w:p>
    <w:p>
      <w:pPr>
        <w:spacing w:after="0" w:line="122"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SG&amp;A expenses decreased $0.4 million, or 1.6%, to $27.9 million for the three months ended March 31, 2026, which included an estimated 3.9% negative impact from FX. SG&amp;A expenses were 15.9% of revenues for the three months ended March 31, 2026 compared to 15.8% of revenues for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19"/>
        </w:trPr>
        <w:tc>
          <w:tcPr>
            <w:tcW w:w="8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8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102,323</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97,156</w:t>
            </w:r>
          </w:p>
        </w:tc>
        <w:tc>
          <w:tcPr>
            <w:tcW w:w="0" w:type="dxa"/>
            <w:vAlign w:val="bottom"/>
          </w:tcPr>
          <w:p>
            <w:pPr>
              <w:spacing w:after="0"/>
              <w:rPr>
                <w:sz w:val="1"/>
                <w:szCs w:val="1"/>
                <w:color w:val="auto"/>
              </w:rPr>
            </w:pPr>
          </w:p>
        </w:tc>
      </w:tr>
      <w:tr>
        <w:trPr>
          <w:trHeight w:val="223"/>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Percentage change in revenues from prior year</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 cost of revenues</w:t>
            </w: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69,016</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64,258</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25,604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24,376</w:t>
            </w:r>
          </w:p>
        </w:tc>
        <w:tc>
          <w:tcPr>
            <w:tcW w:w="0" w:type="dxa"/>
            <w:vAlign w:val="bottom"/>
          </w:tcPr>
          <w:p>
            <w:pPr>
              <w:spacing w:after="0"/>
              <w:rPr>
                <w:sz w:val="1"/>
                <w:szCs w:val="1"/>
                <w:color w:val="auto"/>
              </w:rPr>
            </w:pPr>
          </w:p>
        </w:tc>
      </w:tr>
      <w:tr>
        <w:trPr>
          <w:trHeight w:val="229"/>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Special charges</w:t>
            </w:r>
          </w:p>
        </w:tc>
        <w:tc>
          <w:tcPr>
            <w:tcW w:w="36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1,928</w:t>
            </w:r>
          </w:p>
        </w:tc>
        <w:tc>
          <w:tcPr>
            <w:tcW w:w="0" w:type="dxa"/>
            <w:vAlign w:val="bottom"/>
          </w:tcPr>
          <w:p>
            <w:pPr>
              <w:spacing w:after="0"/>
              <w:rPr>
                <w:sz w:val="1"/>
                <w:szCs w:val="1"/>
                <w:color w:val="auto"/>
              </w:rPr>
            </w:pPr>
          </w:p>
        </w:tc>
      </w:tr>
      <w:tr>
        <w:trPr>
          <w:trHeight w:val="223"/>
        </w:trPr>
        <w:tc>
          <w:tcPr>
            <w:tcW w:w="80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94,620</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90,562</w:t>
            </w:r>
          </w:p>
        </w:tc>
        <w:tc>
          <w:tcPr>
            <w:tcW w:w="0" w:type="dxa"/>
            <w:vAlign w:val="bottom"/>
          </w:tcPr>
          <w:p>
            <w:pPr>
              <w:spacing w:after="0"/>
              <w:rPr>
                <w:sz w:val="1"/>
                <w:szCs w:val="1"/>
                <w:color w:val="auto"/>
              </w:rPr>
            </w:pPr>
          </w:p>
        </w:tc>
      </w:tr>
      <w:tr>
        <w:trPr>
          <w:trHeight w:val="223"/>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7,703</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6,594</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Percentage change in segment operating income from prior year</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29"/>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 back:</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4,130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3,070</w:t>
            </w:r>
          </w:p>
        </w:tc>
        <w:tc>
          <w:tcPr>
            <w:tcW w:w="0" w:type="dxa"/>
            <w:vAlign w:val="bottom"/>
          </w:tcPr>
          <w:p>
            <w:pPr>
              <w:spacing w:after="0"/>
              <w:rPr>
                <w:sz w:val="1"/>
                <w:szCs w:val="1"/>
                <w:color w:val="auto"/>
              </w:rPr>
            </w:pPr>
          </w:p>
        </w:tc>
      </w:tr>
      <w:tr>
        <w:trPr>
          <w:trHeight w:val="229"/>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Special charges</w:t>
            </w:r>
          </w:p>
        </w:tc>
        <w:tc>
          <w:tcPr>
            <w:tcW w:w="36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1,928</w:t>
            </w:r>
          </w:p>
        </w:tc>
        <w:tc>
          <w:tcPr>
            <w:tcW w:w="0" w:type="dxa"/>
            <w:vAlign w:val="bottom"/>
          </w:tcPr>
          <w:p>
            <w:pPr>
              <w:spacing w:after="0"/>
              <w:rPr>
                <w:sz w:val="1"/>
                <w:szCs w:val="1"/>
                <w:color w:val="auto"/>
              </w:rPr>
            </w:pPr>
          </w:p>
        </w:tc>
      </w:tr>
      <w:tr>
        <w:trPr>
          <w:trHeight w:val="248"/>
        </w:trPr>
        <w:tc>
          <w:tcPr>
            <w:tcW w:w="806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Adjusted Segment EBITDA</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11,833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11,592</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Gross profit </w:t>
            </w:r>
            <w:r>
              <w:rPr>
                <w:rFonts w:ascii="Times New Roman" w:cs="Times New Roman" w:eastAsia="Times New Roman" w:hAnsi="Times New Roman"/>
                <w:sz w:val="10"/>
                <w:szCs w:val="10"/>
                <w:color w:val="auto"/>
              </w:rPr>
              <w:t>(1)</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36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3"/>
              <w:spacing w:after="0" w:line="203" w:lineRule="exact"/>
              <w:rPr>
                <w:sz w:val="20"/>
                <w:szCs w:val="20"/>
                <w:color w:val="auto"/>
              </w:rPr>
            </w:pPr>
            <w:r>
              <w:rPr>
                <w:rFonts w:ascii="Times New Roman" w:cs="Times New Roman" w:eastAsia="Times New Roman" w:hAnsi="Times New Roman"/>
                <w:sz w:val="18"/>
                <w:szCs w:val="18"/>
                <w:color w:val="auto"/>
              </w:rPr>
              <w:t>33,307</w:t>
            </w:r>
          </w:p>
        </w:tc>
        <w:tc>
          <w:tcPr>
            <w:tcW w:w="120" w:type="dxa"/>
            <w:vAlign w:val="bottom"/>
          </w:tcPr>
          <w:p>
            <w:pPr>
              <w:spacing w:after="0"/>
              <w:rPr>
                <w:sz w:val="17"/>
                <w:szCs w:val="17"/>
                <w:color w:val="auto"/>
              </w:rPr>
            </w:pPr>
          </w:p>
        </w:tc>
        <w:tc>
          <w:tcPr>
            <w:tcW w:w="600" w:type="dxa"/>
            <w:vAlign w:val="bottom"/>
          </w:tcPr>
          <w:p>
            <w:pPr>
              <w:jc w:val="right"/>
              <w:ind w:right="4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1"/>
              <w:spacing w:after="0" w:line="203" w:lineRule="exact"/>
              <w:rPr>
                <w:sz w:val="20"/>
                <w:szCs w:val="20"/>
                <w:color w:val="auto"/>
              </w:rPr>
            </w:pPr>
            <w:r>
              <w:rPr>
                <w:rFonts w:ascii="Times New Roman" w:cs="Times New Roman" w:eastAsia="Times New Roman" w:hAnsi="Times New Roman"/>
                <w:sz w:val="18"/>
                <w:szCs w:val="18"/>
                <w:color w:val="auto"/>
              </w:rPr>
              <w:t>32,898</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Percentage change in gross profit from prior year</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Gross profit margin </w:t>
            </w:r>
            <w:r>
              <w:rPr>
                <w:rFonts w:ascii="Times New Roman" w:cs="Times New Roman" w:eastAsia="Times New Roman" w:hAnsi="Times New Roman"/>
                <w:sz w:val="10"/>
                <w:szCs w:val="10"/>
                <w:color w:val="auto"/>
              </w:rPr>
              <w:t>(2)</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Segment EBITDA as a percentage of revenues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Number of billable professionals (at period end) </w:t>
            </w:r>
            <w:r>
              <w:rPr>
                <w:rFonts w:ascii="Times New Roman" w:cs="Times New Roman" w:eastAsia="Times New Roman" w:hAnsi="Times New Roman"/>
                <w:sz w:val="10"/>
                <w:szCs w:val="10"/>
                <w:color w:val="auto"/>
              </w:rPr>
              <w:t>(3)</w:t>
            </w: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Percentage change in number of billable professionals from prior year</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3798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less direct cost of revenues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as a percentage of revenues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Includes personnel involved in direct client assistance and billable consultants and excludes professionals employed on an as-needed basis</w:t>
      </w:r>
    </w:p>
    <w:p>
      <w:pPr>
        <w:spacing w:after="0" w:line="160" w:lineRule="exact"/>
        <w:rPr>
          <w:sz w:val="20"/>
          <w:szCs w:val="20"/>
          <w:color w:val="auto"/>
        </w:rPr>
      </w:pPr>
    </w:p>
    <w:p>
      <w:pPr>
        <w:sectPr>
          <w:pgSz w:w="11900" w:h="16838" w:orient="portrait"/>
          <w:cols w:equalWidth="0" w:num="2">
            <w:col w:w="140" w:space="500"/>
            <w:col w:w="10600"/>
          </w:cols>
          <w:pgMar w:left="320" w:top="88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 Compared to Three Months Ended March 31, 2025</w:t>
      </w:r>
    </w:p>
    <w:p>
      <w:pPr>
        <w:spacing w:after="0" w:line="175" w:lineRule="exact"/>
        <w:rPr>
          <w:sz w:val="20"/>
          <w:szCs w:val="20"/>
          <w:color w:val="auto"/>
        </w:rPr>
      </w:pPr>
    </w:p>
    <w:p>
      <w:pPr>
        <w:jc w:val="both"/>
        <w:ind w:right="300" w:firstLine="486"/>
        <w:spacing w:after="0" w:line="266" w:lineRule="auto"/>
        <w:rPr>
          <w:sz w:val="20"/>
          <w:szCs w:val="20"/>
          <w:color w:val="auto"/>
        </w:rPr>
      </w:pPr>
      <w:r>
        <w:rPr>
          <w:rFonts w:ascii="Times New Roman" w:cs="Times New Roman" w:eastAsia="Times New Roman" w:hAnsi="Times New Roman"/>
          <w:sz w:val="18"/>
          <w:szCs w:val="18"/>
          <w:color w:val="auto"/>
        </w:rPr>
        <w:t>Revenues increased $5.2 million, or 5.3%, to $102.3 million for the three months ended March 31, 2026, primarily due to higher demand for our litigation and information governance, privacy &amp; security services, which was partially offset by lower demand for our investigations and M&amp;A-related “second request” services. Excluding an estimated 2.5% positive impact from FX, revenues increased $2.7 million, or 2.8%.</w:t>
      </w:r>
    </w:p>
    <w:p>
      <w:pPr>
        <w:spacing w:after="0" w:line="122"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Gross profit increased $0.4 million, or 1.2%, to $33.3 million for the three months ended March 31, 2026. Gross profit margin decreased 1.3 percentage points for the three months ended March 31, 2026. The decrease in gross profit margin was primarily due to lower profitability of our hosting and processing services, which was partially offset by higher profitability of our consulting and review services.</w:t>
      </w:r>
    </w:p>
    <w:p>
      <w:pPr>
        <w:spacing w:after="0" w:line="122" w:lineRule="exact"/>
        <w:rPr>
          <w:sz w:val="20"/>
          <w:szCs w:val="20"/>
          <w:color w:val="auto"/>
        </w:rPr>
      </w:pPr>
    </w:p>
    <w:p>
      <w:pPr>
        <w:jc w:val="both"/>
        <w:ind w:right="420" w:firstLine="486"/>
        <w:spacing w:after="0" w:line="266" w:lineRule="auto"/>
        <w:rPr>
          <w:sz w:val="20"/>
          <w:szCs w:val="20"/>
          <w:color w:val="auto"/>
        </w:rPr>
      </w:pPr>
      <w:r>
        <w:rPr>
          <w:rFonts w:ascii="Times New Roman" w:cs="Times New Roman" w:eastAsia="Times New Roman" w:hAnsi="Times New Roman"/>
          <w:sz w:val="18"/>
          <w:szCs w:val="18"/>
          <w:color w:val="auto"/>
        </w:rPr>
        <w:t>SG&amp;A expenses increased $1.2 million, or 5.0%, to $25.6 million for the three months ended March 31, 2026, primarily due to higher bad debt expenses. The increase in SG&amp;A expenses included an estimated 2.3% negative impact from FX. SG&amp;A expenses of 25.0% of revenues for the three months ended March 31, 2026 compared to 25.1% of revenues for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STRATEGIC COMMUNICATIONS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19"/>
        </w:trPr>
        <w:tc>
          <w:tcPr>
            <w:tcW w:w="8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20" w:type="dxa"/>
            <w:vAlign w:val="bottom"/>
          </w:tcPr>
          <w:p>
            <w:pPr>
              <w:spacing w:after="0"/>
              <w:rPr>
                <w:sz w:val="19"/>
                <w:szCs w:val="19"/>
                <w:color w:val="auto"/>
              </w:rPr>
            </w:pPr>
          </w:p>
        </w:tc>
      </w:tr>
      <w:tr>
        <w:trPr>
          <w:trHeight w:val="23"/>
        </w:trPr>
        <w:tc>
          <w:tcPr>
            <w:tcW w:w="8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102,994</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87,018</w:t>
            </w:r>
          </w:p>
        </w:tc>
      </w:tr>
      <w:tr>
        <w:trPr>
          <w:trHeight w:val="223"/>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Percentage change in revenues from prior year</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 cost of revenues</w:t>
            </w: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62,579</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56,692</w:t>
            </w:r>
          </w:p>
        </w:tc>
      </w:tr>
      <w:tr>
        <w:trPr>
          <w:trHeight w:val="22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19,509</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18,264</w:t>
            </w:r>
          </w:p>
        </w:tc>
      </w:tr>
      <w:tr>
        <w:trPr>
          <w:trHeight w:val="230"/>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Special charges</w:t>
            </w:r>
          </w:p>
        </w:tc>
        <w:tc>
          <w:tcPr>
            <w:tcW w:w="36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3,268</w:t>
            </w:r>
          </w:p>
        </w:tc>
      </w:tr>
      <w:tr>
        <w:trPr>
          <w:trHeight w:val="22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80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82,156</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78,293</w:t>
            </w:r>
          </w:p>
        </w:tc>
      </w:tr>
      <w:tr>
        <w:trPr>
          <w:trHeight w:val="223"/>
        </w:trPr>
        <w:tc>
          <w:tcPr>
            <w:tcW w:w="8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20,838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8,725</w:t>
            </w:r>
          </w:p>
        </w:tc>
      </w:tr>
      <w:tr>
        <w:trPr>
          <w:trHeight w:val="229"/>
        </w:trPr>
        <w:tc>
          <w:tcPr>
            <w:tcW w:w="8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Percentage change in segment operating income from prior year</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30"/>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 back:</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36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910</w:t>
            </w:r>
          </w:p>
        </w:tc>
      </w:tr>
      <w:tr>
        <w:trPr>
          <w:trHeight w:val="23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Special charges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3,268</w:t>
            </w:r>
          </w:p>
        </w:tc>
      </w:tr>
      <w:tr>
        <w:trPr>
          <w:trHeight w:val="223"/>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Adjusted Segment EBITDA</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21,890</w:t>
            </w: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12,903</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Gross profit </w:t>
            </w:r>
            <w:r>
              <w:rPr>
                <w:rFonts w:ascii="Times New Roman" w:cs="Times New Roman" w:eastAsia="Times New Roman" w:hAnsi="Times New Roman"/>
                <w:sz w:val="10"/>
                <w:szCs w:val="10"/>
                <w:color w:val="auto"/>
              </w:rPr>
              <w:t>(1)</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40,415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30,326</w:t>
            </w: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Percentage change in gross profit from prior year</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Gross profit margin </w:t>
            </w:r>
            <w:r>
              <w:rPr>
                <w:rFonts w:ascii="Times New Roman" w:cs="Times New Roman" w:eastAsia="Times New Roman" w:hAnsi="Times New Roman"/>
                <w:sz w:val="10"/>
                <w:szCs w:val="10"/>
                <w:color w:val="auto"/>
              </w:rPr>
              <w:t>(2)</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Segment EBITDA as a percentage of revenues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billable professionals (at period end)</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917</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937</w:t>
            </w:r>
          </w:p>
        </w:tc>
      </w:tr>
      <w:tr>
        <w:trPr>
          <w:trHeight w:val="234"/>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Percentage change in number of billable professionals from prior year</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3798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less direct cost of revenues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as a percentage of revenues</w:t>
      </w:r>
    </w:p>
    <w:p>
      <w:pPr>
        <w:spacing w:after="0" w:line="149" w:lineRule="exact"/>
        <w:rPr>
          <w:sz w:val="20"/>
          <w:szCs w:val="20"/>
          <w:color w:val="auto"/>
        </w:rPr>
      </w:pPr>
    </w:p>
    <w:p>
      <w:pPr>
        <w:sectPr>
          <w:pgSz w:w="11900" w:h="16838" w:orient="portrait"/>
          <w:cols w:equalWidth="0" w:num="2">
            <w:col w:w="140" w:space="500"/>
            <w:col w:w="10600"/>
          </w:cols>
          <w:pgMar w:left="320" w:top="88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 Compared to Three Months Ended March 31, 2025</w:t>
      </w:r>
    </w:p>
    <w:p>
      <w:pPr>
        <w:spacing w:after="0" w:line="175"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Revenues increased $16.0 million, or 18.4%, to $103.0 million for the three months ended March 31, 2026, primarily due to higher demand for our corporate reputation, public affairs and financial communications services. Excluding an estimated 3.9% positive impact from FX, revenues increased $12.6 million, or 14.5%.</w:t>
      </w:r>
    </w:p>
    <w:p>
      <w:pPr>
        <w:spacing w:after="0" w:line="122"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Gross profit increased $10.1 million, or 33.3%, to $40.4 million for the three months ended March 31, 2026. Gross profit margin increased 4.4 percentage points for the three months ended March 31, 2026. The increase in gross profit margin was primarily due to lower compensation expenses as a percentage of revenues.</w:t>
      </w:r>
    </w:p>
    <w:p>
      <w:pPr>
        <w:spacing w:after="0" w:line="122"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SG&amp;A expenses increased $1.2 million, or 6.8%, to $19.5 million for the three months ended March 31, 2026, primarily due to higher rent and occupancy, marketing and compensation expenses. The increase in SG&amp;A expenses included an estimated 4.6% negative impact from FX. SG&amp;A expenses of 18.9% of revenues for the three months ended March 31, 2026 compared to 21.0% of revenues for the three months ended March 31, 2025.</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on our condensed consolidated financial statements, which we have prepared in accordance with GAAP. The preparation of these financial statements requires us to make estimates and judgments that affect the reported amounts of assets, liabilities, revenues and expenses, and related disclosure of contingent assets and liabilities. Note 1 to the Consolidated Financial Statements included in Part II, Item 8, of our Annual Report on Form 10-K for the year ended December 31, 2025 describes the significant accounting policies and methods used in preparation of the Condensed Consolidated Financial Statements in this Quarterly Report on Form 10-Q. We evaluate our estimates, including those related to revenues, goodwill and intangible assets, income taxes and contingencies, on an ongoing basis. Our estimates are based on current facts and circumstances, historical experience and various other assumptions that we believe are reasonable, which form the basis for making judgments about the values of assets and liabilities that are not readily apparent from other sources. Actual results may differ from these estimates under different assumptions or conditions. The accounting estimates that reflect our more significant judgments, and which we believe are the most critical to aid in fully understanding and evaluating our reported financial results, include the following:</w:t>
      </w:r>
    </w:p>
    <w:p>
      <w:pPr>
        <w:spacing w:after="0" w:line="140" w:lineRule="exact"/>
        <w:rPr>
          <w:sz w:val="20"/>
          <w:szCs w:val="20"/>
          <w:color w:val="auto"/>
        </w:rPr>
      </w:pPr>
    </w:p>
    <w:p>
      <w:pPr>
        <w:ind w:left="740" w:hanging="246"/>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Intangible Assets</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171"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There were no material changes to our critical accounting estimates from the information provided in “Critical Accounting Estimates” in the Management’s Discussion and Analysis of Financial Condition and Results of Operations, in Part II, Item 7, of our Annual Report on Form 10-K for the year ended December 31, 2025, or from the information provided in Part II, Item 8, of our Annual Report on Form 10-K for the year ended December 31,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NEW ACCOUNTING PRONOUNCEMENTS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2, “New Accounting Standards” in Part I, Item 1, of this Quarterly Report on Form 10-Q.</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5"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Our annual cash flows from operations generally exceed our cash needs for capital expenditures and debt service requirements. We typically finance our day-to-day operations, capital expenditures, acquisitions and share repurchases through cash flows from operations. We believe that our cash flows from operations, supplemented by borrowings under our Revolving Credit Facility, as necessary, and our $300.0 million term loan under our Revolving Credit Facility ("Incremental Term Loan"), will provide adequate cash to fund our cash needs for at least the next 12 months.</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operating assets and liabilities consist primarily of billed and unbilled accounts receivable, notes receivable from employees, accounts payable, accrued expenses and accrued compensation expenses. The timing of billings and collections of receivables, as well as compensation and vendor payments, affects the changes in these balances.</w:t>
      </w:r>
    </w:p>
    <w:p>
      <w:pPr>
        <w:spacing w:after="0" w:line="122"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Results of operations for our non-U.S. subsidiaries are translated from the designated functional currency to our reporting currency of USD. Revenues and expenses are translated at average exchange rates for each month, while assets and liabilities are translated at balance sheet date exchange rates and certain equity transactions are translated at historical rates. Resulting net translation adjustments are recorded as a component of stockholders’ equity in “Accumulated other comprehensive loss.”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Uncertainties and Trends Affecting Liquidity</w:t>
      </w:r>
    </w:p>
    <w:p>
      <w:pPr>
        <w:spacing w:after="0" w:line="17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conclusion that we will be able to fund our cash requirements for at least the next 12 months by using existing capital resources and cash generated from operations does not take into account events beyond our control that could result in a material adverse impact on our business, the impact of any future acquisitions or unexpected significant changes in the number of employees or other unanticipated uses of cash. The anticipated cash needs of our business could change significantly if we pursue and complete additional business acquisitions, if our business plans change, if events such as economic, political and workforce disruptions arise, including any impact of future public health crises, or economic, political or business conditions change from those currently prevailing or from those now anticipated, or if unexpected circumstances or other events beyond our control arise that may have a material adverse effect on the cash flow or profitability of our business, including material negative changes in the health and welfare of our employees or those of our clients, and the operating performance or financial results of our business. Any of these events or circumstances, including any new business opportunities, could involve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1" w:name="page32"/>
    <w:bookmarkEnd w:id="31"/>
    <w:p>
      <w:pPr>
        <w:ind w:right="200"/>
        <w:spacing w:after="0" w:line="282" w:lineRule="auto"/>
        <w:rPr>
          <w:sz w:val="20"/>
          <w:szCs w:val="20"/>
          <w:color w:val="auto"/>
        </w:rPr>
      </w:pPr>
      <w:r>
        <w:rPr>
          <w:rFonts w:ascii="Times New Roman" w:cs="Times New Roman" w:eastAsia="Times New Roman" w:hAnsi="Times New Roman"/>
          <w:sz w:val="18"/>
          <w:szCs w:val="18"/>
          <w:color w:val="auto"/>
        </w:rPr>
        <w:t>significant additional funding and could require us to borrow under our Revolving Credit Facility or raise additional debt or equity funding to meet those needs. Our ability to borrow or raise additional capital, if necessary, is subject to a variety of factors that we cannot predict with certainty, including:</w:t>
      </w:r>
    </w:p>
    <w:p>
      <w:pPr>
        <w:spacing w:after="0" w:line="108" w:lineRule="exact"/>
        <w:rPr>
          <w:sz w:val="20"/>
          <w:szCs w:val="20"/>
          <w:color w:val="auto"/>
        </w:rPr>
      </w:pPr>
    </w:p>
    <w:p>
      <w:pPr>
        <w:ind w:left="740" w:hanging="246"/>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profitability;</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our accounts receivable;</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relative levels of debt and equity;</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and overall condition of the capital markets; and</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prices of our securities.</w:t>
      </w:r>
    </w:p>
    <w:p>
      <w:pPr>
        <w:spacing w:after="0" w:line="171"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Any new debt funding, if available, may be on terms less favorable to us than our Revolving Credit Facility, including the Incremental Term Loan thereunder. See “Forward-Looking Statements” in Part I, Item 2, of this Quarterly Report on Form 10-Q, and the information contained under the heading “Risk Factors” in Part I, Item 1A, of our Annual Report on Form 10-K for the year ended December 31,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9"/>
        </w:trPr>
        <w:tc>
          <w:tcPr>
            <w:tcW w:w="20" w:type="dxa"/>
            <w:vAlign w:val="bottom"/>
          </w:tcPr>
          <w:p>
            <w:pPr>
              <w:spacing w:after="0"/>
              <w:rPr>
                <w:sz w:val="16"/>
                <w:szCs w:val="16"/>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300" w:type="dxa"/>
            <w:vAlign w:val="bottom"/>
          </w:tcPr>
          <w:p>
            <w:pPr>
              <w:spacing w:after="0"/>
              <w:rPr>
                <w:sz w:val="16"/>
                <w:szCs w:val="16"/>
                <w:color w:val="auto"/>
              </w:rPr>
            </w:pPr>
          </w:p>
        </w:tc>
        <w:tc>
          <w:tcPr>
            <w:tcW w:w="2680" w:type="dxa"/>
            <w:vAlign w:val="bottom"/>
            <w:gridSpan w:val="4"/>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4"/>
        </w:trPr>
        <w:tc>
          <w:tcPr>
            <w:tcW w:w="2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7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(465,210)</w:t>
            </w:r>
          </w:p>
        </w:tc>
      </w:tr>
      <w:tr>
        <w:trPr>
          <w:trHeight w:val="229"/>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(17,803)</w:t>
            </w: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(32,301)</w:t>
            </w:r>
          </w:p>
        </w:tc>
      </w:tr>
      <w:tr>
        <w:trPr>
          <w:trHeight w:val="230"/>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w:t>
            </w: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DSO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798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32" w:lineRule="exact"/>
        <w:rPr>
          <w:sz w:val="20"/>
          <w:szCs w:val="20"/>
          <w:color w:val="auto"/>
        </w:rPr>
      </w:pPr>
    </w:p>
    <w:p>
      <w:pPr>
        <w:jc w:val="both"/>
        <w:ind w:left="500" w:right="200" w:hanging="492"/>
        <w:spacing w:after="0" w:line="235" w:lineRule="auto"/>
        <w:tabs>
          <w:tab w:leader="none" w:pos="48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DSO is a performance measure used to assess how quickly revenues are collected by the Company. We calculate DSO at the end of each reporting period by dividing accounts receivable, net reduced by billings in excess of services provided, by revenues for the quarter, adjusted for changes in foreign exchange rates. We multiply the result by the number of days in the quarter.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 Compared to Three Months Ended March 31, 2025</w:t>
      </w:r>
    </w:p>
    <w:p>
      <w:pPr>
        <w:spacing w:after="0" w:line="175"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decreased $155.2 million, or 33.4%, to $310.0 million compared to $465.2 million for the three months ended March 31, 2025. The decrease in net cash used in operating activities was primarily due to a decrease in forgivable loan issuances, higher cash collections and a decrease in income tax payments, which was partially offset by an increase in compensation payments. DSO was 98 and 100 days as of March 31, 2026 and 2025, respectively.</w:t>
      </w:r>
    </w:p>
    <w:p>
      <w:pPr>
        <w:spacing w:after="0" w:line="126"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decreased $7.2 million, or 40.4%, to $10.6 million compared to $17.8 million for the three months ended March 31, 2025. The decrease in net cash used in investing activities was due to a $7.2 million decrease in capital expenditures, primarily related to lower spend on leasehold improvements and capitalized software costs, which was partially offset by higher spend on information technology equipment costs as compared to the three months ended March 31, 2025.</w:t>
      </w:r>
    </w:p>
    <w:p>
      <w:pPr>
        <w:spacing w:after="0" w:line="126"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increased $290.8 million to $258.5 million compared to net cash used in financing activities of $32.3 million for the three months ended March 31, 2025. The increase in net cash provided by financing activities was primarily due to receipt of $300.0 million in proceeds from the Incremental Term Loan and a decrease of $55.8 million in payments for common stock repurchases under the Repurchase Program, which was partially offset by a decrease in net borrowings of $70.0 million under our Revolving Credit Facility compared to the three months ended March 31, 2025.</w:t>
      </w:r>
    </w:p>
    <w:p>
      <w:pPr>
        <w:spacing w:after="0" w:line="129"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The effect of exchange rate changes on cash and cash equivalents had an unfavorable impact of $4.7 million for the three months ended March 31, 2026 compared to a favorable impact of $5.9 million for the three months ended March 31, 2025.</w:t>
      </w:r>
    </w:p>
    <w:p>
      <w:pPr>
        <w:spacing w:after="0" w:line="108"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Cash paid for income taxes and tax credits, net of tax refunds, included $16.8 million of payments for the purchase of tax credits during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Principal Sources of Capital Resources</w:t>
      </w:r>
    </w:p>
    <w:p>
      <w:pPr>
        <w:spacing w:after="0" w:line="175" w:lineRule="exact"/>
        <w:rPr>
          <w:sz w:val="20"/>
          <w:szCs w:val="20"/>
          <w:color w:val="auto"/>
        </w:rPr>
      </w:pPr>
    </w:p>
    <w:p>
      <w:pPr>
        <w:ind w:right="380" w:firstLine="486"/>
        <w:spacing w:after="0" w:line="261" w:lineRule="auto"/>
        <w:rPr>
          <w:sz w:val="20"/>
          <w:szCs w:val="20"/>
          <w:color w:val="auto"/>
        </w:rPr>
      </w:pPr>
      <w:r>
        <w:rPr>
          <w:rFonts w:ascii="Times New Roman" w:cs="Times New Roman" w:eastAsia="Times New Roman" w:hAnsi="Times New Roman"/>
          <w:sz w:val="18"/>
          <w:szCs w:val="18"/>
          <w:color w:val="auto"/>
        </w:rPr>
        <w:t>As of March 31, 2026, our capital resources included $198.3 million of cash and cash equivalents and available borrowing capacity of $445.0 million under the revolving line of credit under our Revolving Credit Facility. The $900.0 million revolving line of credit under our Revolving Credit Facility includes a $125.0 million sublimit for borrowings in currencies other than USD, including the euro, British pound, Australian dollar, Canadian dollar, Swiss franc and Japanese yen.</w:t>
      </w:r>
    </w:p>
    <w:p>
      <w:pPr>
        <w:spacing w:after="0" w:line="126" w:lineRule="exact"/>
        <w:rPr>
          <w:sz w:val="20"/>
          <w:szCs w:val="20"/>
          <w:color w:val="auto"/>
        </w:rPr>
      </w:pPr>
    </w:p>
    <w:p>
      <w:pPr>
        <w:ind w:right="460" w:firstLine="486"/>
        <w:spacing w:after="0" w:line="266" w:lineRule="auto"/>
        <w:rPr>
          <w:sz w:val="20"/>
          <w:szCs w:val="20"/>
          <w:color w:val="auto"/>
        </w:rPr>
      </w:pPr>
      <w:r>
        <w:rPr>
          <w:rFonts w:ascii="Times New Roman" w:cs="Times New Roman" w:eastAsia="Times New Roman" w:hAnsi="Times New Roman"/>
          <w:sz w:val="18"/>
          <w:szCs w:val="18"/>
          <w:color w:val="auto"/>
        </w:rPr>
        <w:t>On March 17, 2026, we entered into an incremental amendment to our Credit Agreement which provides for our Incremental Term Loan in the aggregate amount of $300.0 million. The Incremental Term Loan matures on March 17, 2029, and requires the Company to pay customary fees and expenses.</w:t>
      </w:r>
    </w:p>
    <w:p>
      <w:pPr>
        <w:spacing w:after="0" w:line="122" w:lineRule="exact"/>
        <w:rPr>
          <w:sz w:val="20"/>
          <w:szCs w:val="20"/>
          <w:color w:val="auto"/>
        </w:rPr>
      </w:pPr>
    </w:p>
    <w:p>
      <w:pPr>
        <w:jc w:val="both"/>
        <w:ind w:right="240" w:firstLine="486"/>
        <w:spacing w:after="0" w:line="266" w:lineRule="auto"/>
        <w:rPr>
          <w:sz w:val="20"/>
          <w:szCs w:val="20"/>
          <w:color w:val="auto"/>
        </w:rPr>
      </w:pPr>
      <w:r>
        <w:rPr>
          <w:rFonts w:ascii="Times New Roman" w:cs="Times New Roman" w:eastAsia="Times New Roman" w:hAnsi="Times New Roman"/>
          <w:sz w:val="18"/>
          <w:szCs w:val="18"/>
          <w:color w:val="auto"/>
        </w:rPr>
        <w:t>The availability of borrowings, as well as issuances and extensions of letters of credit under our Revolving Credit Facility, are subject to specified conditions. See Note 8, “Debt” in Part I, Item 1, of this Quarterly Report on Form 10-Q for a further discussion of variable interest rates and guarantees under the Revolving Credit Facility and Incremental Term Loan.</w:t>
      </w:r>
    </w:p>
    <w:p>
      <w:pPr>
        <w:spacing w:after="0" w:line="122"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 second amended and restated credit agreement entered into on November 21, 2022 (as amended, the “Credit Agreement”) governing the Revolving Credit Facility and our other indebtedness outstanding from time to time contains covenants that, among other things, may limit our ability to: incur additional indebtedness; create liens; pay dividends on our capital stock, make distributions or repurchases of our capital stock or make specified other restricted payments; consolidate, merge or sell all or substantially all of our assets; guarantee obligations of other entities or our foreign subsidiaries; enter into hedging agreements; enter into transactions with affiliates or related persons; or engage in any business other than consulting-related businesses. In addition, the Credit Agreement includes a financial covenant that requires us not to exceed a maximum consolidated total net leverage ratio (the ratio of funded debt (less unrestricted cash up to $300.0 million) to Consolidated EBITDA, as defined in the Credit Agreement). As of March 31, 2026, we were in compliance with the covenants contained in the Credit Agreement. See Note 8, “Debt” in Part I, Item 1, of this Quarterly Report on Form 10-Q for a further discussion of the Credit Agreement.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Uses of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Capital Requirements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anticipate that our future capital requirements will principally consist of funds required for:</w:t>
      </w:r>
    </w:p>
    <w:p>
      <w:pPr>
        <w:spacing w:after="0" w:line="171" w:lineRule="exact"/>
        <w:rPr>
          <w:sz w:val="20"/>
          <w:szCs w:val="20"/>
          <w:color w:val="auto"/>
        </w:rPr>
      </w:pPr>
    </w:p>
    <w:p>
      <w:pPr>
        <w:ind w:left="740" w:hanging="246"/>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general corporate expenses;</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primarily for information technology equipment and systems, office furniture and leasehold improvements;</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requirements, including interest payments;</w:t>
      </w:r>
    </w:p>
    <w:p>
      <w:pPr>
        <w:spacing w:after="0" w:line="171" w:lineRule="exact"/>
        <w:rPr>
          <w:rFonts w:ascii="Times New Roman" w:cs="Times New Roman" w:eastAsia="Times New Roman" w:hAnsi="Times New Roman"/>
          <w:sz w:val="18"/>
          <w:szCs w:val="18"/>
          <w:color w:val="auto"/>
        </w:rPr>
      </w:pPr>
    </w:p>
    <w:p>
      <w:pPr>
        <w:ind w:left="740" w:hanging="246"/>
        <w:spacing w:after="0" w:line="282" w:lineRule="auto"/>
        <w:tabs>
          <w:tab w:leader="none" w:pos="7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to designated executive management and senior managing directors under our various long-term incentive compensation programs, including forgivable loans;</w:t>
      </w:r>
    </w:p>
    <w:p>
      <w:pPr>
        <w:spacing w:after="0" w:line="107"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discretionary funding of the Repurchase Program;</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obligations related to our acquisitions;</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acquisitions of businesses; and</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known future contractual obligations.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75"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we spent $10.6 million in capital expenditures to support our organization. For the remainder of 2026, we currently expect additional capital expenditures to support our organization in an aggregate amount of between $34 million and $42 million. Our estimate takes into consideration the needs of our existing businesses but does not include the impact of any expenditures that we may be required to make as a result of future acquisitions or specific client engagements that are not completed or not currently contemplated. Our capital expenditure requirements may change if our staffing levels or technology needs change significantly from what we currently anticipate, if we are required to purchase additional equipment specifically to support new client engagements, or if we pursue and complete acquisitions.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we made $126.8 million in payments, including commissions, for common stock repurchases under the Repurchase Program. We had $364.9 million remaining under the Repurchase Program to repurchase additional shares as of March 31,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Contractual Obligations</w:t>
      </w:r>
    </w:p>
    <w:p>
      <w:pPr>
        <w:spacing w:after="0" w:line="175"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Our future contractual obligations as of March 31, 2026 include long-term obligations of $755.0 million related to outstanding borrowings under our Revolving Credit Facility and Incremental Term Loan. For more information on our Revolving Credit Facility and Incremental Term Loan, refer to Note 8, “Debt” in Part I, Item 1 of this Quarterly Report on Form 10-Q. Under our operating leases as described in Note 9, “Leases” in Part I, Item 1 of this Quarterly Report on Form 10-Q, we have current obligations of $37.8 million and non-current obligations of $215.0 million as of March 31, 2026.</w:t>
      </w:r>
    </w:p>
    <w:p>
      <w:pPr>
        <w:spacing w:after="0" w:line="126"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above amounts reflect future unconditional payments and are based on the terms of the relevant agreements, appropriate classification of items under GAAP currently in effect and certain assumptions such as interest rates. Future events could cause actual payments to differ from these amounts.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75"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As of March 31, 2026 and December 31, 2025, we were contingently liable under bank guarantees issued in favor of third parties that totaled $18.3 million and $17.5 million, respectively. These bank guarantees primarily support bid and performance obligations and operating leases for office space. The amounts are guaranteed under guarantee facilities totaling $37.2 million and $32.5 million as of March 31, 2026 and December 31, 2025, respectively. We had $18.9 million and $15.0 million available under the guarantee facilities as of March 31, 2026 and December 31, 2025, respectively. These bank guarantees are issued separately from our Revolving Credit Facility and, as a result, do not affect available borrowing capacity under our Revolving Credit Facility.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right="320" w:firstLine="486"/>
        <w:spacing w:after="0" w:line="255" w:lineRule="auto"/>
        <w:rPr>
          <w:sz w:val="20"/>
          <w:szCs w:val="20"/>
          <w:color w:val="auto"/>
        </w:rPr>
      </w:pPr>
      <w:r>
        <w:rPr>
          <w:rFonts w:ascii="Times New Roman" w:cs="Times New Roman" w:eastAsia="Times New Roman" w:hAnsi="Times New Roman"/>
          <w:sz w:val="18"/>
          <w:szCs w:val="18"/>
          <w:color w:val="auto"/>
        </w:rPr>
        <w:t xml:space="preserve">This Quarterly Report on Form 10-Q includes “forward-looking statements” within the meaning of Section 27A of the Securities Act of 1933, as amended (the “Securities Act”), and Section 21E of the Securities Exchange Act of 1934, as amended (the “Exchange Act”). All statements other than statements of historical fact, including among other things, statements about future events, anticipated growth, industry prospects, business trends, our future results of operations and financial position, business strategy and plans, future revenues or performance, financing needs, and objectives of management for future operations, are forward-looking statements. Forward-looking statements often contain words such as </w:t>
      </w:r>
      <w:r>
        <w:rPr>
          <w:rFonts w:ascii="Times New Roman" w:cs="Times New Roman" w:eastAsia="Times New Roman" w:hAnsi="Times New Roman"/>
          <w:sz w:val="18"/>
          <w:szCs w:val="18"/>
          <w:i w:val="1"/>
          <w:iCs w:val="1"/>
          <w:color w:val="auto"/>
        </w:rPr>
        <w:t>“may,” “might,” “will,”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“should,” “could,” “would,” “estimates,” “expects,” “anticipates,” “projects,” “plans,” “intends,” “believes,” “commits,” “aspires,” “forecasts,” “future,” “goal,” “seeks” </w:t>
      </w:r>
      <w:r>
        <w:rPr>
          <w:rFonts w:ascii="Times New Roman" w:cs="Times New Roman" w:eastAsia="Times New Roman" w:hAnsi="Times New Roman"/>
          <w:sz w:val="18"/>
          <w:szCs w:val="18"/>
          <w:color w:val="auto"/>
        </w:rPr>
        <w:t>and variations of such words or similar expressions.</w:t>
      </w:r>
    </w:p>
    <w:p>
      <w:pPr>
        <w:spacing w:after="0" w:line="135"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There are a number of risks, uncertainties and other factors that could cause our actual results or outcomes, and the timing of our results or outcomes, to differ materially from the forward-looking statements expressed or implied by this Quarterly Report on Form 10-Q. Although we believe that the expectations and assumptions reflected in these forward-looking statements are reasonable, we can provide no assurance that these expectations and assumptions will prove to be correct. Forward-looking statements relate to future events, results and outcomes and are inherently uncertain.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or outcomes to differ materially from those contained in any forward-looking statements. Important factors that could cause our actual results or outcomes, and the timing of our results and outcomes, to differ materially from the forward-looking statements we make in this Quarterly Report on Form 10-Q include those set forth under the heading “Risk Factors” in Part I, Item 1A, of our Annual Report on Form 10-K for the year ended December 31, 2025, as well as in other information that we file with the SEC from time to time, and include, but are not limited to, the following:</w:t>
      </w:r>
    </w:p>
    <w:p>
      <w:pPr>
        <w:spacing w:after="0" w:line="140" w:lineRule="exact"/>
        <w:rPr>
          <w:sz w:val="20"/>
          <w:szCs w:val="20"/>
          <w:color w:val="auto"/>
        </w:rPr>
      </w:pPr>
    </w:p>
    <w:p>
      <w:pPr>
        <w:ind w:left="740" w:hanging="246"/>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our services;</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qualified professionals and senior management, including segment, industry and regional leaders;</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resulting in our inability to represent certain clients;</w:t>
      </w:r>
    </w:p>
    <w:p>
      <w:pPr>
        <w:spacing w:after="0" w:line="171"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former employees joining or forming competing businesses;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4" w:name="page35"/>
    <w:bookmarkEnd w:id="34"/>
    <w:p>
      <w:pPr>
        <w:ind w:left="246" w:hanging="246"/>
        <w:spacing w:after="0"/>
        <w:tabs>
          <w:tab w:leader="none" w:pos="2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enactment of legislation rendering contractual protections against competition by former employees unenforceable;</w:t>
      </w:r>
    </w:p>
    <w:p>
      <w:pPr>
        <w:spacing w:after="0" w:line="171" w:lineRule="exact"/>
        <w:rPr>
          <w:rFonts w:ascii="Times New Roman" w:cs="Times New Roman" w:eastAsia="Times New Roman" w:hAnsi="Times New Roman"/>
          <w:sz w:val="18"/>
          <w:szCs w:val="18"/>
          <w:color w:val="auto"/>
        </w:rPr>
      </w:pPr>
    </w:p>
    <w:p>
      <w:pPr>
        <w:ind w:left="246" w:right="100" w:hanging="246"/>
        <w:spacing w:after="0" w:line="282" w:lineRule="auto"/>
        <w:tabs>
          <w:tab w:leader="none" w:pos="24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headcount needs and our professionals’ utilization and billing rates and maintain or increase the pricing of our services and products;</w:t>
      </w:r>
    </w:p>
    <w:p>
      <w:pPr>
        <w:spacing w:after="0" w:line="107" w:lineRule="exact"/>
        <w:rPr>
          <w:rFonts w:ascii="Times New Roman" w:cs="Times New Roman" w:eastAsia="Times New Roman" w:hAnsi="Times New Roman"/>
          <w:sz w:val="18"/>
          <w:szCs w:val="18"/>
          <w:color w:val="auto"/>
        </w:rPr>
      </w:pPr>
    </w:p>
    <w:p>
      <w:pPr>
        <w:ind w:left="246" w:right="580" w:hanging="246"/>
        <w:spacing w:after="0" w:line="282" w:lineRule="auto"/>
        <w:tabs>
          <w:tab w:leader="none" w:pos="24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suitable acquisition candidates, negotiate favorable terms, take advantage of opportunistic acquisition situations and integrate the operations of acquisitions, as well as the costs of integration;</w:t>
      </w:r>
    </w:p>
    <w:p>
      <w:pPr>
        <w:spacing w:after="0" w:line="107" w:lineRule="exact"/>
        <w:rPr>
          <w:rFonts w:ascii="Times New Roman" w:cs="Times New Roman" w:eastAsia="Times New Roman" w:hAnsi="Times New Roman"/>
          <w:sz w:val="18"/>
          <w:szCs w:val="18"/>
          <w:color w:val="auto"/>
        </w:rPr>
      </w:pPr>
    </w:p>
    <w:p>
      <w:pPr>
        <w:ind w:left="246" w:hanging="246"/>
        <w:spacing w:after="0"/>
        <w:tabs>
          <w:tab w:leader="none" w:pos="2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and manage the risks associated with operating in non-U.S. markets;</w:t>
      </w:r>
    </w:p>
    <w:p>
      <w:pPr>
        <w:spacing w:after="0" w:line="171" w:lineRule="exact"/>
        <w:rPr>
          <w:rFonts w:ascii="Times New Roman" w:cs="Times New Roman" w:eastAsia="Times New Roman" w:hAnsi="Times New Roman"/>
          <w:sz w:val="18"/>
          <w:szCs w:val="18"/>
          <w:color w:val="auto"/>
        </w:rPr>
      </w:pPr>
    </w:p>
    <w:p>
      <w:pPr>
        <w:ind w:left="246" w:right="300" w:hanging="246"/>
        <w:spacing w:after="0" w:line="282" w:lineRule="auto"/>
        <w:tabs>
          <w:tab w:leader="none" w:pos="24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replace key personnel, including former executives, officers, senior managers and practice and regional leaders who have highly specialized skills and experience;</w:t>
      </w:r>
    </w:p>
    <w:p>
      <w:pPr>
        <w:spacing w:after="0" w:line="107" w:lineRule="exact"/>
        <w:rPr>
          <w:rFonts w:ascii="Times New Roman" w:cs="Times New Roman" w:eastAsia="Times New Roman" w:hAnsi="Times New Roman"/>
          <w:sz w:val="18"/>
          <w:szCs w:val="18"/>
          <w:color w:val="auto"/>
        </w:rPr>
      </w:pPr>
    </w:p>
    <w:p>
      <w:pPr>
        <w:ind w:left="246" w:right="380" w:hanging="246"/>
        <w:spacing w:after="0" w:line="282" w:lineRule="auto"/>
        <w:tabs>
          <w:tab w:leader="none" w:pos="24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the confidentiality of internal and client data and proprietary and confidential information, including from cyberattacks, systems failures or other similar events or outside or internal bad actors, or the use or misuse of social media;</w:t>
      </w:r>
    </w:p>
    <w:p>
      <w:pPr>
        <w:spacing w:after="0" w:line="107" w:lineRule="exact"/>
        <w:rPr>
          <w:rFonts w:ascii="Times New Roman" w:cs="Times New Roman" w:eastAsia="Times New Roman" w:hAnsi="Times New Roman"/>
          <w:sz w:val="18"/>
          <w:szCs w:val="18"/>
          <w:color w:val="auto"/>
        </w:rPr>
      </w:pPr>
    </w:p>
    <w:p>
      <w:pPr>
        <w:ind w:left="246" w:hanging="246"/>
        <w:spacing w:after="0"/>
        <w:tabs>
          <w:tab w:leader="none" w:pos="2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or judicial rulings, including legislation or rulings regarding data privacy and the discovery process;</w:t>
      </w:r>
    </w:p>
    <w:p>
      <w:pPr>
        <w:spacing w:after="0" w:line="171" w:lineRule="exact"/>
        <w:rPr>
          <w:rFonts w:ascii="Times New Roman" w:cs="Times New Roman" w:eastAsia="Times New Roman" w:hAnsi="Times New Roman"/>
          <w:sz w:val="18"/>
          <w:szCs w:val="18"/>
          <w:color w:val="auto"/>
        </w:rPr>
      </w:pPr>
    </w:p>
    <w:p>
      <w:pPr>
        <w:ind w:left="246" w:hanging="246"/>
        <w:spacing w:after="0"/>
        <w:tabs>
          <w:tab w:leader="none" w:pos="2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fluctuations in revenues, operating income and cash flows;</w:t>
      </w:r>
    </w:p>
    <w:p>
      <w:pPr>
        <w:spacing w:after="0" w:line="171" w:lineRule="exact"/>
        <w:rPr>
          <w:rFonts w:ascii="Times New Roman" w:cs="Times New Roman" w:eastAsia="Times New Roman" w:hAnsi="Times New Roman"/>
          <w:sz w:val="18"/>
          <w:szCs w:val="18"/>
          <w:color w:val="auto"/>
        </w:rPr>
      </w:pPr>
    </w:p>
    <w:p>
      <w:pPr>
        <w:ind w:left="246" w:right="520" w:hanging="246"/>
        <w:spacing w:after="0" w:line="282" w:lineRule="auto"/>
        <w:tabs>
          <w:tab w:leader="none" w:pos="24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as a result of claims involving the quality of our services, failures of our internal information technology systems controls or adverse publicity relating to certain clients or engagements;</w:t>
      </w:r>
    </w:p>
    <w:p>
      <w:pPr>
        <w:spacing w:after="0" w:line="107" w:lineRule="exact"/>
        <w:rPr>
          <w:rFonts w:ascii="Times New Roman" w:cs="Times New Roman" w:eastAsia="Times New Roman" w:hAnsi="Times New Roman"/>
          <w:sz w:val="18"/>
          <w:szCs w:val="18"/>
          <w:color w:val="auto"/>
        </w:rPr>
      </w:pPr>
    </w:p>
    <w:p>
      <w:pPr>
        <w:ind w:left="246" w:hanging="246"/>
        <w:spacing w:after="0"/>
        <w:tabs>
          <w:tab w:leader="none" w:pos="2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discounting or renegotiation, lower pricing, less advantageous contract terms and unexpected termination of client engagements;</w:t>
      </w:r>
    </w:p>
    <w:p>
      <w:pPr>
        <w:spacing w:after="0" w:line="171" w:lineRule="exact"/>
        <w:rPr>
          <w:rFonts w:ascii="Times New Roman" w:cs="Times New Roman" w:eastAsia="Times New Roman" w:hAnsi="Times New Roman"/>
          <w:sz w:val="18"/>
          <w:szCs w:val="18"/>
          <w:color w:val="auto"/>
        </w:rPr>
      </w:pPr>
    </w:p>
    <w:p>
      <w:pPr>
        <w:ind w:left="246" w:hanging="246"/>
        <w:spacing w:after="0"/>
        <w:tabs>
          <w:tab w:leader="none" w:pos="2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clients and key personnel;</w:t>
      </w:r>
    </w:p>
    <w:p>
      <w:pPr>
        <w:spacing w:after="0" w:line="171" w:lineRule="exact"/>
        <w:rPr>
          <w:rFonts w:ascii="Times New Roman" w:cs="Times New Roman" w:eastAsia="Times New Roman" w:hAnsi="Times New Roman"/>
          <w:sz w:val="18"/>
          <w:szCs w:val="18"/>
          <w:color w:val="auto"/>
        </w:rPr>
      </w:pPr>
    </w:p>
    <w:p>
      <w:pPr>
        <w:ind w:left="246" w:right="80" w:hanging="246"/>
        <w:spacing w:after="0" w:line="266" w:lineRule="auto"/>
        <w:tabs>
          <w:tab w:leader="none" w:pos="24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factors, industry trends, restructuring and bankruptcy rates, legal or regulatory requirements, capital market conditions, merger and acquisition activity, major litigation activity, geopolitical disruptions, including wars and other conflicts, and other events outside of our control;</w:t>
      </w:r>
    </w:p>
    <w:p>
      <w:pPr>
        <w:spacing w:after="0" w:line="121" w:lineRule="exact"/>
        <w:rPr>
          <w:rFonts w:ascii="Times New Roman" w:cs="Times New Roman" w:eastAsia="Times New Roman" w:hAnsi="Times New Roman"/>
          <w:sz w:val="18"/>
          <w:szCs w:val="18"/>
          <w:color w:val="auto"/>
        </w:rPr>
      </w:pPr>
    </w:p>
    <w:p>
      <w:pPr>
        <w:ind w:left="246" w:hanging="246"/>
        <w:spacing w:after="0"/>
        <w:tabs>
          <w:tab w:leader="none" w:pos="2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growth;</w:t>
      </w:r>
    </w:p>
    <w:p>
      <w:pPr>
        <w:spacing w:after="0" w:line="171" w:lineRule="exact"/>
        <w:rPr>
          <w:rFonts w:ascii="Times New Roman" w:cs="Times New Roman" w:eastAsia="Times New Roman" w:hAnsi="Times New Roman"/>
          <w:sz w:val="18"/>
          <w:szCs w:val="18"/>
          <w:color w:val="auto"/>
        </w:rPr>
      </w:pPr>
    </w:p>
    <w:p>
      <w:pPr>
        <w:ind w:left="246" w:hanging="246"/>
        <w:spacing w:after="0"/>
        <w:tabs>
          <w:tab w:leader="none" w:pos="2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non-payment of receivables;</w:t>
      </w:r>
    </w:p>
    <w:p>
      <w:pPr>
        <w:spacing w:after="0" w:line="171" w:lineRule="exact"/>
        <w:rPr>
          <w:rFonts w:ascii="Times New Roman" w:cs="Times New Roman" w:eastAsia="Times New Roman" w:hAnsi="Times New Roman"/>
          <w:sz w:val="18"/>
          <w:szCs w:val="18"/>
          <w:color w:val="auto"/>
        </w:rPr>
      </w:pPr>
    </w:p>
    <w:p>
      <w:pPr>
        <w:ind w:left="246" w:hanging="246"/>
        <w:spacing w:after="0"/>
        <w:tabs>
          <w:tab w:leader="none" w:pos="2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terms of our outstanding indebtedness;</w:t>
      </w:r>
    </w:p>
    <w:p>
      <w:pPr>
        <w:spacing w:after="0" w:line="171" w:lineRule="exact"/>
        <w:rPr>
          <w:rFonts w:ascii="Times New Roman" w:cs="Times New Roman" w:eastAsia="Times New Roman" w:hAnsi="Times New Roman"/>
          <w:sz w:val="18"/>
          <w:szCs w:val="18"/>
          <w:color w:val="auto"/>
        </w:rPr>
      </w:pPr>
    </w:p>
    <w:p>
      <w:pPr>
        <w:ind w:left="246" w:right="120" w:hanging="246"/>
        <w:spacing w:after="0" w:line="261" w:lineRule="auto"/>
        <w:tabs>
          <w:tab w:leader="none" w:pos="24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obsolescence, replacement, protection, implementation or operation of our information technology systems, including our enterprise resource planning and other financial systems, and software, proprietary software products, intellectual property rights and trade secrets, which could adversely affect our ability to retain or win clients, conduct business, preserve or enhance our reputation, maintain business continuity or report financial results;</w:t>
      </w:r>
    </w:p>
    <w:p>
      <w:pPr>
        <w:spacing w:after="0" w:line="125" w:lineRule="exact"/>
        <w:rPr>
          <w:rFonts w:ascii="Times New Roman" w:cs="Times New Roman" w:eastAsia="Times New Roman" w:hAnsi="Times New Roman"/>
          <w:sz w:val="18"/>
          <w:szCs w:val="18"/>
          <w:color w:val="auto"/>
        </w:rPr>
      </w:pPr>
    </w:p>
    <w:p>
      <w:pPr>
        <w:ind w:left="246" w:hanging="246"/>
        <w:spacing w:after="0"/>
        <w:tabs>
          <w:tab w:leader="none" w:pos="2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adoption and integration of technological innovations such as AI and machine learning;</w:t>
      </w:r>
    </w:p>
    <w:p>
      <w:pPr>
        <w:spacing w:after="0" w:line="171" w:lineRule="exact"/>
        <w:rPr>
          <w:rFonts w:ascii="Times New Roman" w:cs="Times New Roman" w:eastAsia="Times New Roman" w:hAnsi="Times New Roman"/>
          <w:sz w:val="18"/>
          <w:szCs w:val="18"/>
          <w:color w:val="auto"/>
        </w:rPr>
      </w:pPr>
    </w:p>
    <w:p>
      <w:pPr>
        <w:ind w:left="246" w:hanging="246"/>
        <w:spacing w:after="0"/>
        <w:tabs>
          <w:tab w:leader="none" w:pos="2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disruptions and currency fluctuations between the U.S. dollar and foreign currencies;</w:t>
      </w:r>
    </w:p>
    <w:p>
      <w:pPr>
        <w:spacing w:after="0" w:line="171" w:lineRule="exact"/>
        <w:rPr>
          <w:rFonts w:ascii="Times New Roman" w:cs="Times New Roman" w:eastAsia="Times New Roman" w:hAnsi="Times New Roman"/>
          <w:sz w:val="18"/>
          <w:szCs w:val="18"/>
          <w:color w:val="auto"/>
        </w:rPr>
      </w:pPr>
    </w:p>
    <w:p>
      <w:pPr>
        <w:ind w:left="246" w:right="440" w:hanging="246"/>
        <w:spacing w:after="0" w:line="282" w:lineRule="auto"/>
        <w:tabs>
          <w:tab w:leader="none" w:pos="24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foreign tax law changes, including the enactment of tax legislation, proposed from time to time, into law, which could increase our effective tax rate and cash tax expenditures;</w:t>
      </w:r>
    </w:p>
    <w:p>
      <w:pPr>
        <w:spacing w:after="0" w:line="107" w:lineRule="exact"/>
        <w:rPr>
          <w:rFonts w:ascii="Times New Roman" w:cs="Times New Roman" w:eastAsia="Times New Roman" w:hAnsi="Times New Roman"/>
          <w:sz w:val="18"/>
          <w:szCs w:val="18"/>
          <w:color w:val="auto"/>
        </w:rPr>
      </w:pPr>
    </w:p>
    <w:p>
      <w:pPr>
        <w:ind w:left="246" w:hanging="246"/>
        <w:spacing w:after="0" w:line="266" w:lineRule="auto"/>
        <w:tabs>
          <w:tab w:leader="none" w:pos="24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risks related to climate change, including rising temperatures, severe storms, energy disruptions, fires or wildfires, flooding and rising sea levels, among others, which could adversely impact our ability to conduct business or maintain business continuity, including by affecting our access to our leased office space in affected geographies and the integrity of our information technology systems;</w:t>
      </w:r>
    </w:p>
    <w:p>
      <w:pPr>
        <w:spacing w:after="0" w:line="121" w:lineRule="exact"/>
        <w:rPr>
          <w:rFonts w:ascii="Times New Roman" w:cs="Times New Roman" w:eastAsia="Times New Roman" w:hAnsi="Times New Roman"/>
          <w:sz w:val="18"/>
          <w:szCs w:val="18"/>
          <w:color w:val="auto"/>
        </w:rPr>
      </w:pPr>
    </w:p>
    <w:p>
      <w:pPr>
        <w:ind w:left="246" w:right="40" w:hanging="246"/>
        <w:spacing w:after="0" w:line="266" w:lineRule="auto"/>
        <w:tabs>
          <w:tab w:leader="none" w:pos="24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climate change and sustainability and corporate responsibility-related initiatives and goals, including our policies and practices relating to the environment and climate change, sustainability, and inclusion, if they do not meet or keep pace with current or evolving governmental, investor or other stakeholder or media (including social media) expectations and standards or rules and regulations; and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74"/>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891" w:right="339" w:bottom="1440" w:gutter="0" w:footer="0" w:header="0"/>
        </w:sectPr>
      </w:pPr>
    </w:p>
    <w:bookmarkStart w:id="35" w:name="page36"/>
    <w:bookmarkEnd w:id="35"/>
    <w:p>
      <w:pPr>
        <w:ind w:left="500"/>
        <w:spacing w:after="0"/>
        <w:tabs>
          <w:tab w:leader="none" w:pos="7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fluctuations in the mix of our services and the geographic locations in which our clients are located or our services are rendered.</w:t>
      </w:r>
    </w:p>
    <w:p>
      <w:pPr>
        <w:spacing w:after="0" w:line="171"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All forward-looking statements are presented as of the date of this Quarterly Report on Form 10-Q and are expressly qualified in their entirety by the cautionary statements included herein. Except as required by law, we undertake no obligation to publicly update or revise any forward-looking statement for any reason.</w:t>
      </w:r>
    </w:p>
    <w:p>
      <w:pPr>
        <w:spacing w:after="0" w:line="158"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70"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For information regarding our exposure to certain market risks, see “Quantitative and Qualitative Disclosures About Market Risk” in Part II, Item 7A, of our Annual Report on Form 10-K for the year ended December 31, 2025. There have been no material changes in our market risk exposure during the period covered by this Quarterly Report on Form 10-Q.</w:t>
      </w:r>
    </w:p>
    <w:p>
      <w:pPr>
        <w:spacing w:after="0" w:line="158"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Evaluation of Disclosure Controls and Procedures. </w:t>
      </w:r>
      <w:r>
        <w:rPr>
          <w:rFonts w:ascii="Times New Roman" w:cs="Times New Roman" w:eastAsia="Times New Roman" w:hAnsi="Times New Roman"/>
          <w:sz w:val="18"/>
          <w:szCs w:val="18"/>
          <w:color w:val="auto"/>
        </w:rPr>
        <w:t>An evaluation of the effectiveness of the design and operation of our “disclosure controls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procedures” (as defined in Rule 13a-15(e) under the Exchange Act), as of the end of the period covered by this Quarterly Report on Form 10-Q, was made under the supervision and with the participation of our management, including our Chief Executive Officer and Interim Chief Financial Officer. Based upon this evaluation, our Chief Executive Officer and Interim Chief Financial Officer have concluded that our disclosure controls and procedures (a) were effective to ensure that information required to be disclosed by us in reports filed or submitted under the Exchange Act is timely recorded, processed, summarized and reported and (b) included, without limitation, controls and procedures designed to ensure that information required to be disclosed by us in reports filed or submitted under the Exchange Act is accumulated and communicated to our management, including our Chief Executive Officer and Interim Chief Financial Officer, as appropriate, to allow timely decisions regarding required disclosure.</w:t>
      </w:r>
    </w:p>
    <w:p>
      <w:pPr>
        <w:spacing w:after="0" w:line="131" w:lineRule="exact"/>
        <w:rPr>
          <w:sz w:val="20"/>
          <w:szCs w:val="20"/>
          <w:color w:val="auto"/>
        </w:rPr>
      </w:pPr>
    </w:p>
    <w:p>
      <w:pPr>
        <w:jc w:val="both"/>
        <w:ind w:right="80" w:firstLine="486"/>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r>
        <w:rPr>
          <w:rFonts w:ascii="Times New Roman" w:cs="Times New Roman" w:eastAsia="Times New Roman" w:hAnsi="Times New Roman"/>
          <w:sz w:val="17"/>
          <w:szCs w:val="17"/>
          <w:color w:val="auto"/>
        </w:rPr>
        <w:t>. There have not been any changes in our internal control over financial reporting during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three months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50"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7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From time to time in the ordinary course of business, we are subject to claims, asserted or unasserted, or named as a party to lawsuits or investigations. Litigation can be expensive and disruptive to normal business operations. Moreover, the results of legal proceedings cannot be predicted with any certainty, and in the case of more complex legal proceedings the results are difficult to predict at all. We are not aware of any asserted or unasserted legal proceedings or claims that we believe would have a material adverse effect on our financial condition or our results of operations.</w:t>
      </w:r>
    </w:p>
    <w:p>
      <w:pPr>
        <w:spacing w:after="0" w:line="162"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56" w:lineRule="exact"/>
        <w:rPr>
          <w:sz w:val="20"/>
          <w:szCs w:val="20"/>
          <w:color w:val="auto"/>
        </w:rPr>
      </w:pPr>
    </w:p>
    <w:p>
      <w:pPr>
        <w:jc w:val="both"/>
        <w:ind w:right="120" w:firstLine="648"/>
        <w:spacing w:after="0" w:line="289" w:lineRule="auto"/>
        <w:rPr>
          <w:sz w:val="20"/>
          <w:szCs w:val="20"/>
          <w:color w:val="auto"/>
        </w:rPr>
      </w:pPr>
      <w:r>
        <w:rPr>
          <w:rFonts w:ascii="Times New Roman" w:cs="Times New Roman" w:eastAsia="Times New Roman" w:hAnsi="Times New Roman"/>
          <w:sz w:val="17"/>
          <w:szCs w:val="17"/>
          <w:color w:val="auto"/>
        </w:rPr>
        <w:t>There have been no material changes in any risk factors previously disclosed in Part I, Item 1A, of our Annual Report on Form 10-K for the year ended December 31, 2025 filed with the SEC. We may disclose changes to risk factors or disclose additional factors from time to time in our future filings with the SEC. Additional risks and uncertainties not presently known to us or that we currently deem immaterial also may impair our business operations.</w:t>
      </w:r>
    </w:p>
    <w:p>
      <w:pPr>
        <w:spacing w:after="0" w:line="140"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Unregistered sales of equity securities.</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Repurchases of our common stock.</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purchases we made of our common stock during the three months ended March 31, 2026:</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8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6"/>
        </w:trPr>
        <w:tc>
          <w:tcPr>
            <w:tcW w:w="3900" w:type="dxa"/>
            <w:vAlign w:val="bottom"/>
          </w:tcPr>
          <w:p>
            <w:pPr>
              <w:spacing w:after="0"/>
              <w:rPr>
                <w:sz w:val="12"/>
                <w:szCs w:val="12"/>
                <w:color w:val="auto"/>
              </w:rPr>
            </w:pPr>
          </w:p>
        </w:tc>
        <w:tc>
          <w:tcPr>
            <w:tcW w:w="17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2"/>
                <w:szCs w:val="12"/>
                <w:color w:val="auto"/>
              </w:rPr>
            </w:pPr>
          </w:p>
        </w:tc>
        <w:tc>
          <w:tcPr>
            <w:tcW w:w="11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80" w:type="dxa"/>
            <w:vAlign w:val="bottom"/>
          </w:tcPr>
          <w:p>
            <w:pPr>
              <w:jc w:val="center"/>
              <w:ind w:left="288"/>
              <w:spacing w:after="0" w:line="146" w:lineRule="exact"/>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80" w:type="dxa"/>
            <w:vAlign w:val="bottom"/>
          </w:tcPr>
          <w:p>
            <w:pPr>
              <w:jc w:val="center"/>
              <w:ind w:right="162"/>
              <w:spacing w:after="0" w:line="146" w:lineRule="exact"/>
              <w:rPr>
                <w:sz w:val="20"/>
                <w:szCs w:val="20"/>
                <w:color w:val="auto"/>
              </w:rPr>
            </w:pPr>
            <w:r>
              <w:rPr>
                <w:rFonts w:ascii="Times New Roman" w:cs="Times New Roman" w:eastAsia="Times New Roman" w:hAnsi="Times New Roman"/>
                <w:sz w:val="14"/>
                <w:szCs w:val="14"/>
                <w:b w:val="1"/>
                <w:bCs w:val="1"/>
                <w:color w:val="auto"/>
              </w:rPr>
              <w:t>Dollar Value of Shares</w:t>
            </w:r>
          </w:p>
        </w:tc>
        <w:tc>
          <w:tcPr>
            <w:tcW w:w="0" w:type="dxa"/>
            <w:vAlign w:val="bottom"/>
          </w:tcPr>
          <w:p>
            <w:pPr>
              <w:spacing w:after="0"/>
              <w:rPr>
                <w:sz w:val="1"/>
                <w:szCs w:val="1"/>
                <w:color w:val="auto"/>
              </w:rPr>
            </w:pPr>
          </w:p>
        </w:tc>
      </w:tr>
      <w:tr>
        <w:trPr>
          <w:trHeight w:val="137"/>
        </w:trPr>
        <w:tc>
          <w:tcPr>
            <w:tcW w:w="3900" w:type="dxa"/>
            <w:vAlign w:val="bottom"/>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380" w:type="dxa"/>
            <w:vAlign w:val="bottom"/>
          </w:tcPr>
          <w:p>
            <w:pPr>
              <w:jc w:val="center"/>
              <w:ind w:left="268"/>
              <w:spacing w:after="0" w:line="137"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80" w:type="dxa"/>
            <w:vAlign w:val="bottom"/>
          </w:tcPr>
          <w:p>
            <w:pPr>
              <w:jc w:val="center"/>
              <w:ind w:right="162"/>
              <w:spacing w:after="0" w:line="137"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6"/>
        </w:trPr>
        <w:tc>
          <w:tcPr>
            <w:tcW w:w="3900" w:type="dxa"/>
            <w:vAlign w:val="bottom"/>
          </w:tcPr>
          <w:p>
            <w:pPr>
              <w:spacing w:after="0"/>
              <w:rPr>
                <w:sz w:val="12"/>
                <w:szCs w:val="12"/>
                <w:color w:val="auto"/>
              </w:rPr>
            </w:pPr>
          </w:p>
        </w:tc>
        <w:tc>
          <w:tcPr>
            <w:tcW w:w="170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2"/>
                <w:szCs w:val="12"/>
                <w:color w:val="auto"/>
              </w:rPr>
            </w:pPr>
          </w:p>
        </w:tc>
        <w:tc>
          <w:tcPr>
            <w:tcW w:w="116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Price</w:t>
            </w:r>
          </w:p>
        </w:tc>
        <w:tc>
          <w:tcPr>
            <w:tcW w:w="1380" w:type="dxa"/>
            <w:vAlign w:val="bottom"/>
          </w:tcPr>
          <w:p>
            <w:pPr>
              <w:jc w:val="center"/>
              <w:ind w:left="268"/>
              <w:spacing w:after="0" w:line="146"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80" w:type="dxa"/>
            <w:vAlign w:val="bottom"/>
          </w:tcPr>
          <w:p>
            <w:pPr>
              <w:jc w:val="center"/>
              <w:ind w:right="162"/>
              <w:spacing w:after="0" w:line="146"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7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6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38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80" w:type="dxa"/>
            <w:vAlign w:val="bottom"/>
          </w:tcPr>
          <w:p>
            <w:pPr>
              <w:jc w:val="center"/>
              <w:ind w:right="162"/>
              <w:spacing w:after="0" w:line="149" w:lineRule="exact"/>
              <w:rPr>
                <w:sz w:val="20"/>
                <w:szCs w:val="20"/>
                <w:color w:val="auto"/>
              </w:rPr>
            </w:pPr>
            <w:r>
              <w:rPr>
                <w:rFonts w:ascii="Times New Roman" w:cs="Times New Roman" w:eastAsia="Times New Roman" w:hAnsi="Times New Roman"/>
                <w:sz w:val="14"/>
                <w:szCs w:val="14"/>
                <w:b w:val="1"/>
                <w:bCs w:val="1"/>
                <w:color w:val="auto"/>
                <w:w w:val="99"/>
              </w:rPr>
              <w:t>Under the</w:t>
            </w:r>
          </w:p>
        </w:tc>
        <w:tc>
          <w:tcPr>
            <w:tcW w:w="0" w:type="dxa"/>
            <w:vAlign w:val="bottom"/>
          </w:tcPr>
          <w:p>
            <w:pPr>
              <w:spacing w:after="0"/>
              <w:rPr>
                <w:sz w:val="1"/>
                <w:szCs w:val="1"/>
                <w:color w:val="auto"/>
              </w:rPr>
            </w:pPr>
          </w:p>
        </w:tc>
      </w:tr>
      <w:tr>
        <w:trPr>
          <w:trHeight w:val="196"/>
        </w:trPr>
        <w:tc>
          <w:tcPr>
            <w:tcW w:w="39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 xml:space="preserve">Program </w:t>
            </w:r>
            <w:r>
              <w:rPr>
                <w:rFonts w:ascii="Times New Roman" w:cs="Times New Roman" w:eastAsia="Times New Roman" w:hAnsi="Times New Roman"/>
                <w:sz w:val="9"/>
                <w:szCs w:val="9"/>
                <w:b w:val="1"/>
                <w:bCs w:val="1"/>
                <w:color w:val="auto"/>
              </w:rPr>
              <w:t>(1)</w:t>
            </w:r>
          </w:p>
        </w:tc>
        <w:tc>
          <w:tcPr>
            <w:tcW w:w="34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246"/>
        </w:trPr>
        <w:tc>
          <w:tcPr>
            <w:tcW w:w="39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60" w:type="dxa"/>
            <w:vAlign w:val="bottom"/>
            <w:gridSpan w:val="5"/>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(in thousands, except price per share data)</w:t>
            </w:r>
          </w:p>
        </w:tc>
        <w:tc>
          <w:tcPr>
            <w:tcW w:w="2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through January 31, 2026</w:t>
            </w:r>
          </w:p>
        </w:tc>
        <w:tc>
          <w:tcPr>
            <w:tcW w:w="1700" w:type="dxa"/>
            <w:vAlign w:val="bottom"/>
            <w:gridSpan w:val="2"/>
            <w:shd w:val="clear" w:color="auto" w:fill="CCEEFF"/>
          </w:tcPr>
          <w:p>
            <w:pPr>
              <w:jc w:val="right"/>
              <w:ind w:right="220"/>
              <w:spacing w:after="0" w:line="230" w:lineRule="exact"/>
              <w:rPr>
                <w:sz w:val="20"/>
                <w:szCs w:val="20"/>
                <w:color w:val="auto"/>
              </w:rPr>
            </w:pPr>
            <w:r>
              <w:rPr>
                <w:rFonts w:ascii="Times New Roman" w:cs="Times New Roman" w:eastAsia="Times New Roman" w:hAnsi="Times New Roman"/>
                <w:sz w:val="26"/>
                <w:szCs w:val="26"/>
                <w:color w:val="auto"/>
                <w:vertAlign w:val="subscript"/>
              </w:rPr>
              <w:t>11</w:t>
            </w:r>
            <w:r>
              <w:rPr>
                <w:rFonts w:ascii="Times New Roman" w:cs="Times New Roman" w:eastAsia="Times New Roman" w:hAnsi="Times New Roman"/>
                <w:sz w:val="10"/>
                <w:szCs w:val="10"/>
                <w:color w:val="auto"/>
              </w:rPr>
              <w:t xml:space="preserve"> (2)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169.85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w w:val="99"/>
              </w:rPr>
              <w:t>(5)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490,918</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through February 28, 2026</w:t>
            </w:r>
          </w:p>
        </w:tc>
        <w:tc>
          <w:tcPr>
            <w:tcW w:w="1700" w:type="dxa"/>
            <w:vAlign w:val="bottom"/>
            <w:gridSpan w:val="2"/>
          </w:tcPr>
          <w:p>
            <w:pPr>
              <w:jc w:val="right"/>
              <w:ind w:right="220"/>
              <w:spacing w:after="0" w:line="230" w:lineRule="exact"/>
              <w:rPr>
                <w:sz w:val="20"/>
                <w:szCs w:val="20"/>
                <w:color w:val="auto"/>
              </w:rPr>
            </w:pPr>
            <w:r>
              <w:rPr>
                <w:rFonts w:ascii="Times New Roman" w:cs="Times New Roman" w:eastAsia="Times New Roman" w:hAnsi="Times New Roman"/>
                <w:sz w:val="18"/>
                <w:szCs w:val="18"/>
                <w:color w:val="auto"/>
              </w:rPr>
              <w:t xml:space="preserve">692 </w:t>
            </w:r>
            <w:r>
              <w:rPr>
                <w:rFonts w:ascii="Times New Roman" w:cs="Times New Roman" w:eastAsia="Times New Roman" w:hAnsi="Times New Roman"/>
                <w:sz w:val="23"/>
                <w:szCs w:val="23"/>
                <w:color w:val="auto"/>
                <w:vertAlign w:val="superscript"/>
              </w:rPr>
              <w:t>(3)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160.49</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680</w:t>
            </w:r>
          </w:p>
        </w:tc>
        <w:tc>
          <w:tcPr>
            <w:tcW w:w="38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w w:val="99"/>
              </w:rPr>
              <w:t>(6)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381,773</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through March 31, 2026</w:t>
            </w:r>
          </w:p>
        </w:tc>
        <w:tc>
          <w:tcPr>
            <w:tcW w:w="1700" w:type="dxa"/>
            <w:vAlign w:val="bottom"/>
            <w:gridSpan w:val="2"/>
            <w:shd w:val="clear" w:color="auto" w:fill="CCEEFF"/>
          </w:tcPr>
          <w:p>
            <w:pPr>
              <w:jc w:val="right"/>
              <w:ind w:right="220"/>
              <w:spacing w:after="0" w:line="230" w:lineRule="exact"/>
              <w:rPr>
                <w:sz w:val="20"/>
                <w:szCs w:val="20"/>
                <w:color w:val="auto"/>
              </w:rPr>
            </w:pPr>
            <w:r>
              <w:rPr>
                <w:rFonts w:ascii="Times New Roman" w:cs="Times New Roman" w:eastAsia="Times New Roman" w:hAnsi="Times New Roman"/>
                <w:sz w:val="26"/>
                <w:szCs w:val="26"/>
                <w:color w:val="auto"/>
                <w:vertAlign w:val="subscript"/>
              </w:rPr>
              <w:t>120</w:t>
            </w:r>
            <w:r>
              <w:rPr>
                <w:rFonts w:ascii="Times New Roman" w:cs="Times New Roman" w:eastAsia="Times New Roman" w:hAnsi="Times New Roman"/>
                <w:sz w:val="10"/>
                <w:szCs w:val="10"/>
                <w:color w:val="auto"/>
              </w:rPr>
              <w:t xml:space="preserve"> (4)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165.34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102</w:t>
            </w:r>
          </w:p>
        </w:tc>
        <w:tc>
          <w:tcPr>
            <w:tcW w:w="38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w w:val="99"/>
              </w:rPr>
              <w:t>(7)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364,929</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8"/>
                <w:szCs w:val="18"/>
                <w:color w:val="auto"/>
              </w:rPr>
              <w:t>823</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787</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3798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ind w:left="20" w:right="160" w:hanging="11"/>
        <w:spacing w:after="0" w:line="258" w:lineRule="auto"/>
        <w:rPr>
          <w:sz w:val="20"/>
          <w:szCs w:val="20"/>
          <w:color w:val="auto"/>
        </w:rPr>
      </w:pPr>
      <w:r>
        <w:rPr>
          <w:rFonts w:ascii="Times New Roman" w:cs="Times New Roman" w:eastAsia="Times New Roman" w:hAnsi="Times New Roman"/>
          <w:sz w:val="18"/>
          <w:szCs w:val="18"/>
          <w:color w:val="auto"/>
        </w:rPr>
        <w:t>On June 2, 2016, our Board of Directors authorized a stock repurchase program (the “Repurchase Program”), which was most recently increased by $500.0 million to an aggregate authorization of $2.2 billion on October 21, 2025. No time limit has been established for the completion of the Repurchase Program, and the Repurchase Program may be suspended, discontinued or replaced by the Board of Directors at any time without prior notice. During the quarter ended March 31, 2026, we repurchased an aggregate of 787,098 shares of our common stock under the Repurchase Program at an average price of $161.11 per share for a total cost of approximately $126.8 million.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6,204 shares of common stock withheld to cover payroll tax withholdings.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11,902 shares of common stock withheld to cover payroll tax withholdings.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17,763 shares of common stock withheld to cover payroll tax withholdings.</w:t>
      </w:r>
    </w:p>
    <w:p>
      <w:pPr>
        <w:spacing w:after="0" w:line="171" w:lineRule="exact"/>
        <w:rPr>
          <w:sz w:val="20"/>
          <w:szCs w:val="20"/>
          <w:color w:val="auto"/>
        </w:rPr>
      </w:pPr>
    </w:p>
    <w:p>
      <w:pPr>
        <w:ind w:left="20" w:right="20" w:hanging="11"/>
        <w:spacing w:after="0" w:line="282" w:lineRule="auto"/>
        <w:rPr>
          <w:sz w:val="20"/>
          <w:szCs w:val="20"/>
          <w:color w:val="auto"/>
        </w:rPr>
      </w:pPr>
      <w:r>
        <w:rPr>
          <w:rFonts w:ascii="Times New Roman" w:cs="Times New Roman" w:eastAsia="Times New Roman" w:hAnsi="Times New Roman"/>
          <w:sz w:val="18"/>
          <w:szCs w:val="18"/>
          <w:color w:val="auto"/>
        </w:rPr>
        <w:t>During the month ended January 31, 2026, we repurchased and retired 4,957 shares of common stock, at an average price per share of $169.02, for an aggregate cost of $0.8 million.</w:t>
      </w:r>
    </w:p>
    <w:p>
      <w:pPr>
        <w:spacing w:after="0" w:line="108" w:lineRule="exact"/>
        <w:rPr>
          <w:sz w:val="20"/>
          <w:szCs w:val="20"/>
          <w:color w:val="auto"/>
        </w:rPr>
      </w:pPr>
    </w:p>
    <w:p>
      <w:pPr>
        <w:ind w:left="20" w:right="680" w:hanging="11"/>
        <w:spacing w:after="0" w:line="282" w:lineRule="auto"/>
        <w:rPr>
          <w:sz w:val="20"/>
          <w:szCs w:val="20"/>
          <w:color w:val="auto"/>
        </w:rPr>
      </w:pPr>
      <w:r>
        <w:rPr>
          <w:rFonts w:ascii="Times New Roman" w:cs="Times New Roman" w:eastAsia="Times New Roman" w:hAnsi="Times New Roman"/>
          <w:sz w:val="18"/>
          <w:szCs w:val="18"/>
          <w:color w:val="auto"/>
        </w:rPr>
        <w:t>During the month ended February 28, 2026, we repurchased and retired 679,842 shares of common stock, at an average price per share of $160.52, for an aggregate cost of $109.1 million.</w:t>
      </w:r>
    </w:p>
    <w:p>
      <w:pPr>
        <w:spacing w:after="0" w:line="200" w:lineRule="exact"/>
        <w:rPr>
          <w:sz w:val="20"/>
          <w:szCs w:val="20"/>
          <w:color w:val="auto"/>
        </w:rPr>
      </w:pPr>
    </w:p>
    <w:p>
      <w:pPr>
        <w:sectPr>
          <w:pgSz w:w="11900" w:h="16838" w:orient="portrait"/>
          <w:cols w:equalWidth="0" w:num="2">
            <w:col w:w="140" w:space="500"/>
            <w:col w:w="10600"/>
          </w:cols>
          <w:pgMar w:left="320" w:top="887" w:right="3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7" w:name="page38"/>
    <w:bookmarkEnd w:id="37"/>
    <w:p>
      <w:pPr>
        <w:ind w:left="660" w:hanging="652"/>
        <w:spacing w:after="0" w:line="229" w:lineRule="auto"/>
        <w:tabs>
          <w:tab w:leader="none" w:pos="64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month ended March 31, 2026, we repurchased and retired 102,299 shares of common stock, at an average price per share of $164.64, for an aggregate cost of $16.8 million.</w:t>
      </w:r>
    </w:p>
    <w:p>
      <w:pPr>
        <w:spacing w:after="0" w:line="181"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 Trading plans</w:t>
      </w:r>
    </w:p>
    <w:p>
      <w:pPr>
        <w:spacing w:after="0" w:line="173" w:lineRule="exact"/>
        <w:rPr>
          <w:sz w:val="20"/>
          <w:szCs w:val="20"/>
          <w:color w:val="auto"/>
        </w:rPr>
      </w:pPr>
    </w:p>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2026, no director or Section 16 officer of the Company adopted or terminated any Rule 10b5-1 trading arrangements or non-Rule 10b5-1 trading arrangements (in each case, as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891" w:right="519" w:bottom="1440" w:gutter="0" w:footer="0" w:header="0"/>
        </w:sectPr>
      </w:pPr>
    </w:p>
    <w:bookmarkStart w:id="38" w:name="page39"/>
    <w:bookmarkEnd w:id="38"/>
    <w:tbl>
      <w:tblPr>
        <w:tblLayout w:type="fixed"/>
        <w:tblInd w:w="20" w:type="dxa"/>
        <w:tblCellMar>
          <w:top w:w="0" w:type="dxa"/>
          <w:left w:w="0" w:type="dxa"/>
          <w:bottom w:w="0" w:type="dxa"/>
          <w:right w:w="0" w:type="dxa"/>
        </w:tblCellMar>
      </w:tblPr>
      <w:tr>
        <w:trPr>
          <w:trHeight w:val="221"/>
        </w:trPr>
        <w:tc>
          <w:tcPr>
            <w:tcW w:w="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6.</w:t>
            </w:r>
          </w:p>
        </w:tc>
        <w:tc>
          <w:tcPr>
            <w:tcW w:w="3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8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23"/>
        </w:trPr>
        <w:tc>
          <w:tcPr>
            <w:tcW w:w="280" w:type="dxa"/>
            <w:vAlign w:val="bottom"/>
            <w:vMerge w:val="restart"/>
          </w:tcPr>
          <w:p>
            <w:pPr>
              <w:spacing w:after="0"/>
              <w:rPr>
                <w:sz w:val="2"/>
                <w:szCs w:val="2"/>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8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3100" w:type="dxa"/>
            <w:vAlign w:val="bottom"/>
            <w:vMerge w:val="restart"/>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2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Form</w:t>
            </w:r>
          </w:p>
        </w:tc>
        <w:tc>
          <w:tcPr>
            <w:tcW w:w="640" w:type="dxa"/>
            <w:vAlign w:val="bottom"/>
          </w:tcPr>
          <w:p>
            <w:pPr>
              <w:spacing w:after="0"/>
              <w:rPr>
                <w:sz w:val="11"/>
                <w:szCs w:val="11"/>
                <w:color w:val="auto"/>
              </w:rPr>
            </w:pP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15"/>
        </w:trPr>
        <w:tc>
          <w:tcPr>
            <w:tcW w:w="280" w:type="dxa"/>
            <w:vAlign w:val="bottom"/>
          </w:tcPr>
          <w:p>
            <w:pPr>
              <w:spacing w:after="0"/>
              <w:rPr>
                <w:sz w:val="10"/>
                <w:szCs w:val="10"/>
                <w:color w:val="auto"/>
              </w:rPr>
            </w:pPr>
          </w:p>
        </w:tc>
        <w:tc>
          <w:tcPr>
            <w:tcW w:w="480" w:type="dxa"/>
            <w:vAlign w:val="bottom"/>
            <w:tcBorders>
              <w:top w:val="single" w:sz="8" w:color="auto"/>
            </w:tcBorders>
          </w:tcPr>
          <w:p>
            <w:pPr>
              <w:spacing w:after="0" w:line="115"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3100" w:type="dxa"/>
            <w:vAlign w:val="bottom"/>
            <w:vMerge w:val="continue"/>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2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80" w:type="dxa"/>
            <w:vAlign w:val="bottom"/>
            <w:tcBorders>
              <w:right w:val="single" w:sz="8" w:color="auto"/>
            </w:tcBorders>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ectPr>
          <w:pgSz w:w="11900" w:h="16838" w:orient="portrait"/>
          <w:cols w:equalWidth="0" w:num="1">
            <w:col w:w="11240"/>
          </w:cols>
          <w:pgMar w:left="320" w:top="925" w:right="339" w:bottom="1440" w:gutter="0" w:footer="0" w:header="0"/>
        </w:sectPr>
      </w:pPr>
    </w:p>
    <w:p>
      <w:pPr>
        <w:ind w:left="420"/>
        <w:spacing w:after="0"/>
        <w:tabs>
          <w:tab w:leader="none" w:pos="10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3.1</w:t>
      </w:r>
      <w:r>
        <w:rPr>
          <w:sz w:val="20"/>
          <w:szCs w:val="20"/>
          <w:color w:val="auto"/>
        </w:rPr>
        <w:tab/>
      </w:r>
      <w:hyperlink r:id="rId70">
        <w:r>
          <w:rPr>
            <w:rFonts w:ascii="Times New Roman" w:cs="Times New Roman" w:eastAsia="Times New Roman" w:hAnsi="Times New Roman"/>
            <w:sz w:val="16"/>
            <w:szCs w:val="16"/>
            <w:u w:val="single" w:color="auto"/>
            <w:color w:val="0000FF"/>
          </w:rPr>
          <w:t>Articles of Incorporation of FTI Consulting, Inc., as Amended and Restated</w:t>
        </w:r>
      </w:hyperlink>
    </w:p>
    <w:p>
      <w:pPr>
        <w:spacing w:after="0" w:line="59" w:lineRule="exact"/>
        <w:rPr>
          <w:sz w:val="20"/>
          <w:szCs w:val="20"/>
          <w:color w:val="auto"/>
        </w:rPr>
      </w:pPr>
    </w:p>
    <w:p>
      <w:pPr>
        <w:ind w:left="420"/>
        <w:spacing w:after="0"/>
        <w:tabs>
          <w:tab w:leader="none" w:pos="10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3.2</w:t>
      </w:r>
      <w:r>
        <w:rPr>
          <w:sz w:val="20"/>
          <w:szCs w:val="20"/>
          <w:color w:val="auto"/>
        </w:rPr>
        <w:tab/>
      </w:r>
      <w:hyperlink r:id="rId71">
        <w:r>
          <w:rPr>
            <w:rFonts w:ascii="Times New Roman" w:cs="Times New Roman" w:eastAsia="Times New Roman" w:hAnsi="Times New Roman"/>
            <w:sz w:val="16"/>
            <w:szCs w:val="16"/>
            <w:u w:val="single" w:color="auto"/>
            <w:color w:val="0000FF"/>
          </w:rPr>
          <w:t>Articles of Amendment dated June 1, 2011 to Charter of FTI Consulting, Inc.</w:t>
        </w:r>
      </w:hyperlink>
    </w:p>
    <w:p>
      <w:pPr>
        <w:spacing w:after="0" w:line="59" w:lineRule="exact"/>
        <w:rPr>
          <w:sz w:val="20"/>
          <w:szCs w:val="20"/>
          <w:color w:val="auto"/>
        </w:rPr>
      </w:pPr>
    </w:p>
    <w:p>
      <w:pPr>
        <w:ind w:left="420"/>
        <w:spacing w:after="0"/>
        <w:tabs>
          <w:tab w:leader="none" w:pos="10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3.3</w:t>
      </w:r>
      <w:r>
        <w:rPr>
          <w:sz w:val="20"/>
          <w:szCs w:val="20"/>
          <w:color w:val="auto"/>
        </w:rPr>
        <w:tab/>
      </w:r>
      <w:hyperlink r:id="rId72">
        <w:r>
          <w:rPr>
            <w:rFonts w:ascii="Times New Roman" w:cs="Times New Roman" w:eastAsia="Times New Roman" w:hAnsi="Times New Roman"/>
            <w:sz w:val="16"/>
            <w:szCs w:val="16"/>
            <w:u w:val="single" w:color="auto"/>
            <w:color w:val="0000FF"/>
          </w:rPr>
          <w:t>Bylaws of FTI Consulting, Inc., as Amended and Restated Adopted February 21, 2023</w:t>
        </w:r>
      </w:hyperlink>
    </w:p>
    <w:p>
      <w:pPr>
        <w:spacing w:after="0" w:line="59" w:lineRule="exact"/>
        <w:rPr>
          <w:sz w:val="20"/>
          <w:szCs w:val="20"/>
          <w:color w:val="auto"/>
        </w:rPr>
      </w:pPr>
    </w:p>
    <w:p>
      <w:pPr>
        <w:ind w:left="1100" w:right="220" w:hanging="808"/>
        <w:spacing w:after="0" w:line="245" w:lineRule="auto"/>
        <w:tabs>
          <w:tab w:leader="none" w:pos="10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10.1†+</w:t>
      </w:r>
      <w:r>
        <w:rPr>
          <w:sz w:val="20"/>
          <w:szCs w:val="20"/>
          <w:color w:val="auto"/>
        </w:rPr>
        <w:tab/>
      </w:r>
      <w:hyperlink r:id="rId73">
        <w:r>
          <w:rPr>
            <w:rFonts w:ascii="Times New Roman" w:cs="Times New Roman" w:eastAsia="Times New Roman" w:hAnsi="Times New Roman"/>
            <w:sz w:val="16"/>
            <w:szCs w:val="16"/>
            <w:u w:val="single" w:color="auto"/>
            <w:color w:val="0000FF"/>
          </w:rPr>
          <w:t>Offer of Employment Agreement, executed March 3, 2026, by and between FTI Consulting, Inc. and</w:t>
        </w:r>
      </w:hyperlink>
      <w:r>
        <w:rPr>
          <w:rFonts w:ascii="Times New Roman" w:cs="Times New Roman" w:eastAsia="Times New Roman" w:hAnsi="Times New Roman"/>
          <w:sz w:val="16"/>
          <w:szCs w:val="16"/>
          <w:u w:val="single" w:color="auto"/>
          <w:color w:val="0000FF"/>
        </w:rPr>
        <w:t xml:space="preserve"> </w:t>
      </w:r>
      <w:hyperlink r:id="rId73">
        <w:r>
          <w:rPr>
            <w:rFonts w:ascii="Times New Roman" w:cs="Times New Roman" w:eastAsia="Times New Roman" w:hAnsi="Times New Roman"/>
            <w:sz w:val="16"/>
            <w:szCs w:val="16"/>
            <w:u w:val="single" w:color="auto"/>
            <w:color w:val="0000FF"/>
          </w:rPr>
          <w:t>Eun Angela Nam</w:t>
        </w:r>
      </w:hyperlink>
    </w:p>
    <w:p>
      <w:pPr>
        <w:spacing w:after="0" w:line="2" w:lineRule="exact"/>
        <w:rPr>
          <w:sz w:val="20"/>
          <w:szCs w:val="20"/>
          <w:color w:val="auto"/>
        </w:rPr>
      </w:pPr>
    </w:p>
    <w:p>
      <w:pPr>
        <w:ind w:left="1100" w:hanging="722"/>
        <w:spacing w:after="0" w:line="232" w:lineRule="auto"/>
        <w:tabs>
          <w:tab w:leader="none" w:pos="108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w:t>
      </w:r>
      <w:r>
        <w:rPr>
          <w:sz w:val="20"/>
          <w:szCs w:val="20"/>
          <w:color w:val="auto"/>
        </w:rPr>
        <w:tab/>
      </w:r>
      <w:hyperlink r:id="rId74">
        <w:r>
          <w:rPr>
            <w:rFonts w:ascii="Times New Roman" w:cs="Times New Roman" w:eastAsia="Times New Roman" w:hAnsi="Times New Roman"/>
            <w:sz w:val="16"/>
            <w:szCs w:val="16"/>
            <w:u w:val="single" w:color="auto"/>
            <w:color w:val="0000FF"/>
          </w:rPr>
          <w:t>Incremental Amendment to Second Amended and Restated Credit Agreement, dated as of March 17,</w:t>
        </w:r>
      </w:hyperlink>
      <w:r>
        <w:rPr>
          <w:rFonts w:ascii="Times New Roman" w:cs="Times New Roman" w:eastAsia="Times New Roman" w:hAnsi="Times New Roman"/>
          <w:sz w:val="16"/>
          <w:szCs w:val="16"/>
          <w:u w:val="single" w:color="auto"/>
          <w:color w:val="0000FF"/>
        </w:rPr>
        <w:t xml:space="preserve"> </w:t>
      </w:r>
      <w:hyperlink r:id="rId74">
        <w:r>
          <w:rPr>
            <w:rFonts w:ascii="Times New Roman" w:cs="Times New Roman" w:eastAsia="Times New Roman" w:hAnsi="Times New Roman"/>
            <w:sz w:val="16"/>
            <w:szCs w:val="16"/>
            <w:u w:val="single" w:color="auto"/>
            <w:color w:val="0000FF"/>
          </w:rPr>
          <w:t>2026, by and among FTI Consulting, Inc., the Subsidiaries of the Company party thereto, as Guarantors,</w:t>
        </w:r>
      </w:hyperlink>
      <w:r>
        <w:rPr>
          <w:rFonts w:ascii="Times New Roman" w:cs="Times New Roman" w:eastAsia="Times New Roman" w:hAnsi="Times New Roman"/>
          <w:sz w:val="16"/>
          <w:szCs w:val="16"/>
          <w:u w:val="single" w:color="auto"/>
          <w:color w:val="0000FF"/>
        </w:rPr>
        <w:t xml:space="preserve"> </w:t>
      </w:r>
      <w:hyperlink r:id="rId74">
        <w:r>
          <w:rPr>
            <w:rFonts w:ascii="Times New Roman" w:cs="Times New Roman" w:eastAsia="Times New Roman" w:hAnsi="Times New Roman"/>
            <w:sz w:val="16"/>
            <w:szCs w:val="16"/>
            <w:u w:val="single" w:color="auto"/>
            <w:color w:val="0000FF"/>
          </w:rPr>
          <w:t>the 2026 Incremental Term Lenders party thereto and Bank of America, N.A., as administrative agent</w:t>
        </w:r>
      </w:hyperlink>
    </w:p>
    <w:p>
      <w:pPr>
        <w:spacing w:after="0" w:line="6" w:lineRule="exact"/>
        <w:rPr>
          <w:rFonts w:ascii="Times New Roman" w:cs="Times New Roman" w:eastAsia="Times New Roman" w:hAnsi="Times New Roman"/>
          <w:sz w:val="16"/>
          <w:szCs w:val="16"/>
          <w:u w:val="single" w:color="auto"/>
          <w:color w:val="0000FF"/>
        </w:rPr>
      </w:pPr>
    </w:p>
    <w:p>
      <w:pPr>
        <w:jc w:val="right"/>
        <w:ind w:left="340" w:right="560"/>
        <w:spacing w:after="0" w:line="245" w:lineRule="auto"/>
        <w:rPr>
          <w:sz w:val="20"/>
          <w:szCs w:val="20"/>
          <w:color w:val="auto"/>
        </w:rPr>
      </w:pPr>
      <w:r>
        <w:rPr>
          <w:rFonts w:ascii="Times New Roman" w:cs="Times New Roman" w:eastAsia="Times New Roman" w:hAnsi="Times New Roman"/>
          <w:sz w:val="16"/>
          <w:szCs w:val="16"/>
          <w:color w:val="auto"/>
        </w:rPr>
        <w:t xml:space="preserve">31.1*     </w:t>
      </w:r>
      <w:r>
        <w:rPr>
          <w:rFonts w:ascii="Times New Roman" w:cs="Times New Roman" w:eastAsia="Times New Roman" w:hAnsi="Times New Roman"/>
          <w:sz w:val="16"/>
          <w:szCs w:val="16"/>
          <w:u w:val="single" w:color="auto"/>
          <w:color w:val="0000FF"/>
        </w:rPr>
        <w:t>Certification of Principal Executive Officer pursuant to Rule 13a-14(a) and 15d-14(a) under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FF"/>
        </w:rPr>
        <w:t>Securities Exchange Act of 1934, as amended (Section 302 of the Sarbanes-Oxley Act of 2002)</w:t>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br w:type="column"/>
      </w: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10"/>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0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99.2</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05/23/2003</w:t>
            </w:r>
          </w:p>
        </w:tc>
      </w:tr>
      <w:tr>
        <w:trPr>
          <w:trHeight w:val="243"/>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0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3.1</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06/02/2011</w:t>
            </w:r>
          </w:p>
        </w:tc>
      </w:tr>
      <w:tr>
        <w:trPr>
          <w:trHeight w:val="243"/>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0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3.1</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02/21/2023</w:t>
            </w:r>
          </w:p>
        </w:tc>
      </w:tr>
      <w:tr>
        <w:trPr>
          <w:trHeight w:val="243"/>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0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10.1</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03/09/2026</w:t>
            </w:r>
          </w:p>
        </w:tc>
      </w:tr>
      <w:tr>
        <w:trPr>
          <w:trHeight w:val="378"/>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8-K</w:t>
            </w:r>
          </w:p>
        </w:tc>
        <w:tc>
          <w:tcPr>
            <w:tcW w:w="10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10.1</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03/18/2026</w:t>
            </w:r>
          </w:p>
        </w:tc>
      </w:tr>
    </w:tbl>
    <w:p>
      <w:pPr>
        <w:spacing w:after="0" w:line="706" w:lineRule="exact"/>
        <w:rPr>
          <w:rFonts w:ascii="Times New Roman" w:cs="Times New Roman" w:eastAsia="Times New Roman" w:hAnsi="Times New Roman"/>
          <w:sz w:val="16"/>
          <w:szCs w:val="16"/>
          <w:u w:val="single" w:color="auto"/>
          <w:color w:val="0000FF"/>
        </w:rPr>
      </w:pPr>
    </w:p>
    <w:p>
      <w:pPr>
        <w:sectPr>
          <w:pgSz w:w="11900" w:h="16838" w:orient="portrait"/>
          <w:cols w:equalWidth="0" w:num="2">
            <w:col w:w="7860" w:space="460"/>
            <w:col w:w="2920"/>
          </w:cols>
          <w:pgMar w:left="320" w:top="925" w:right="339" w:bottom="1440" w:gutter="0" w:footer="0" w:header="0"/>
          <w:type w:val="continuous"/>
        </w:sectPr>
      </w:pPr>
    </w:p>
    <w:tbl>
      <w:tblPr>
        <w:tblLayout w:type="fixed"/>
        <w:tblInd w:w="300" w:type="dxa"/>
        <w:tblCellMar>
          <w:top w:w="0" w:type="dxa"/>
          <w:left w:w="0" w:type="dxa"/>
          <w:bottom w:w="0" w:type="dxa"/>
          <w:right w:w="0" w:type="dxa"/>
        </w:tblCellMar>
      </w:tblPr>
      <w:tr>
        <w:trPr>
          <w:trHeight w:val="178"/>
        </w:trPr>
        <w:tc>
          <w:tcPr>
            <w:tcW w:w="800" w:type="dxa"/>
            <w:vAlign w:val="bottom"/>
          </w:tcPr>
          <w:p>
            <w:pPr>
              <w:jc w:val="center"/>
              <w:ind w:right="279"/>
              <w:spacing w:after="0" w:line="178" w:lineRule="exact"/>
              <w:rPr>
                <w:sz w:val="20"/>
                <w:szCs w:val="20"/>
                <w:color w:val="auto"/>
              </w:rPr>
            </w:pPr>
            <w:r>
              <w:rPr>
                <w:rFonts w:ascii="Times New Roman" w:cs="Times New Roman" w:eastAsia="Times New Roman" w:hAnsi="Times New Roman"/>
                <w:sz w:val="16"/>
                <w:szCs w:val="16"/>
                <w:color w:val="auto"/>
                <w:w w:val="99"/>
              </w:rPr>
              <w:t>31.2*</w:t>
            </w:r>
          </w:p>
        </w:tc>
        <w:tc>
          <w:tcPr>
            <w:tcW w:w="6380" w:type="dxa"/>
            <w:vAlign w:val="bottom"/>
            <w:gridSpan w:val="6"/>
          </w:tcPr>
          <w:p>
            <w:pPr>
              <w:spacing w:after="0" w:line="178" w:lineRule="exact"/>
              <w:rPr>
                <w:sz w:val="20"/>
                <w:szCs w:val="20"/>
                <w:color w:val="auto"/>
              </w:rPr>
            </w:pPr>
            <w:r>
              <w:rPr>
                <w:rFonts w:ascii="Times New Roman" w:cs="Times New Roman" w:eastAsia="Times New Roman" w:hAnsi="Times New Roman"/>
                <w:sz w:val="16"/>
                <w:szCs w:val="16"/>
                <w:color w:val="0000FF"/>
              </w:rPr>
              <w:t>Certification of Principal Financial Officer pursuant to Rule 13a-14(a) and 15d-14(a) under the</w:t>
            </w:r>
          </w:p>
        </w:tc>
      </w:tr>
      <w:tr>
        <w:trPr>
          <w:trHeight w:val="142"/>
        </w:trPr>
        <w:tc>
          <w:tcPr>
            <w:tcW w:w="800" w:type="dxa"/>
            <w:vAlign w:val="bottom"/>
          </w:tcPr>
          <w:p>
            <w:pPr>
              <w:spacing w:after="0"/>
              <w:rPr>
                <w:sz w:val="12"/>
                <w:szCs w:val="12"/>
                <w:color w:val="auto"/>
              </w:rPr>
            </w:pPr>
          </w:p>
        </w:tc>
        <w:tc>
          <w:tcPr>
            <w:tcW w:w="616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Securities Exchange Act of 1934, as amended (Section 302 of the Sarbanes-Oxley Act of 2002)</w:t>
            </w:r>
          </w:p>
        </w:tc>
        <w:tc>
          <w:tcPr>
            <w:tcW w:w="40" w:type="dxa"/>
            <w:vAlign w:val="bottom"/>
            <w:tcBorders>
              <w:bottom w:val="single" w:sz="8" w:color="0000FF"/>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0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w w:val="99"/>
              </w:rPr>
              <w:t>32.1**</w:t>
            </w:r>
          </w:p>
        </w:tc>
        <w:tc>
          <w:tcPr>
            <w:tcW w:w="63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18 USC. Section 1350 (Section 906 of the</w:t>
            </w:r>
          </w:p>
        </w:tc>
      </w:tr>
      <w:tr>
        <w:trPr>
          <w:trHeight w:val="142"/>
        </w:trPr>
        <w:tc>
          <w:tcPr>
            <w:tcW w:w="800" w:type="dxa"/>
            <w:vAlign w:val="bottom"/>
          </w:tcPr>
          <w:p>
            <w:pPr>
              <w:spacing w:after="0"/>
              <w:rPr>
                <w:sz w:val="12"/>
                <w:szCs w:val="12"/>
                <w:color w:val="auto"/>
              </w:rPr>
            </w:pPr>
          </w:p>
        </w:tc>
        <w:tc>
          <w:tcPr>
            <w:tcW w:w="6360" w:type="dxa"/>
            <w:vAlign w:val="bottom"/>
            <w:tcBorders>
              <w:top w:val="single" w:sz="8" w:color="0000FF"/>
            </w:tcBorders>
            <w:gridSpan w:val="5"/>
          </w:tcPr>
          <w:p>
            <w:pPr>
              <w:spacing w:after="0" w:line="142" w:lineRule="exact"/>
              <w:rPr>
                <w:sz w:val="20"/>
                <w:szCs w:val="20"/>
                <w:color w:val="auto"/>
              </w:rPr>
            </w:pPr>
            <w:r>
              <w:rPr>
                <w:rFonts w:ascii="Times New Roman" w:cs="Times New Roman" w:eastAsia="Times New Roman" w:hAnsi="Times New Roman"/>
                <w:sz w:val="16"/>
                <w:szCs w:val="16"/>
                <w:color w:val="0000FF"/>
              </w:rPr>
              <w:t>Sarbanes-Oxley Act of 2002)</w:t>
            </w:r>
          </w:p>
        </w:tc>
        <w:tc>
          <w:tcPr>
            <w:tcW w:w="20" w:type="dxa"/>
            <w:vAlign w:val="bottom"/>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800" w:type="dxa"/>
            <w:vAlign w:val="bottom"/>
          </w:tcPr>
          <w:p>
            <w:pPr>
              <w:jc w:val="center"/>
              <w:ind w:right="279"/>
              <w:spacing w:after="0"/>
              <w:rPr>
                <w:sz w:val="20"/>
                <w:szCs w:val="20"/>
                <w:color w:val="auto"/>
              </w:rPr>
            </w:pPr>
            <w:r>
              <w:rPr>
                <w:rFonts w:ascii="Times New Roman" w:cs="Times New Roman" w:eastAsia="Times New Roman" w:hAnsi="Times New Roman"/>
                <w:sz w:val="16"/>
                <w:szCs w:val="16"/>
                <w:color w:val="auto"/>
                <w:w w:val="99"/>
              </w:rPr>
              <w:t>32.2**</w:t>
            </w:r>
          </w:p>
        </w:tc>
        <w:tc>
          <w:tcPr>
            <w:tcW w:w="638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18 USC. Section 1350 (Section 906 of the</w:t>
            </w:r>
          </w:p>
        </w:tc>
      </w:tr>
      <w:tr>
        <w:trPr>
          <w:trHeight w:val="142"/>
        </w:trPr>
        <w:tc>
          <w:tcPr>
            <w:tcW w:w="800" w:type="dxa"/>
            <w:vAlign w:val="bottom"/>
          </w:tcPr>
          <w:p>
            <w:pPr>
              <w:spacing w:after="0"/>
              <w:rPr>
                <w:sz w:val="12"/>
                <w:szCs w:val="12"/>
                <w:color w:val="auto"/>
              </w:rPr>
            </w:pPr>
          </w:p>
        </w:tc>
        <w:tc>
          <w:tcPr>
            <w:tcW w:w="6320" w:type="dxa"/>
            <w:vAlign w:val="bottom"/>
            <w:tcBorders>
              <w:top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Sarbanes-Oxley Act of 2002)</w:t>
            </w:r>
          </w:p>
        </w:tc>
        <w:tc>
          <w:tcPr>
            <w:tcW w:w="60" w:type="dxa"/>
            <w:vAlign w:val="bottom"/>
            <w:gridSpan w:val="2"/>
          </w:tcPr>
          <w:p>
            <w:pPr>
              <w:spacing w:after="0"/>
              <w:rPr>
                <w:sz w:val="12"/>
                <w:szCs w:val="12"/>
                <w:color w:val="auto"/>
              </w:rPr>
            </w:pPr>
          </w:p>
        </w:tc>
      </w:tr>
      <w:tr>
        <w:trPr>
          <w:trHeight w:val="20"/>
        </w:trPr>
        <w:tc>
          <w:tcPr>
            <w:tcW w:w="80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 w:lineRule="exact"/>
        <w:rPr>
          <w:rFonts w:ascii="Times New Roman" w:cs="Times New Roman" w:eastAsia="Times New Roman" w:hAnsi="Times New Roman"/>
          <w:sz w:val="16"/>
          <w:szCs w:val="16"/>
          <w:u w:val="single" w:color="auto"/>
          <w:color w:val="0000FF"/>
        </w:rPr>
      </w:pPr>
    </w:p>
    <w:p>
      <w:pPr>
        <w:ind w:left="1100" w:right="3420" w:hanging="701"/>
        <w:spacing w:after="0" w:line="219" w:lineRule="auto"/>
        <w:tabs>
          <w:tab w:leader="none" w:pos="11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financial information from the Quarterly Report on Form 10-Q of FTI Consulting, Inc., included herewith, and formatted in Inline XBRL (eXtensible Business Reporting Language): (i) Condensed Consolidated Balance Sheets as of March 31, 2026 and December 31, 2025; (ii) Condensed Consolidated Statements of Comprehensive Income for the three months ended March 31, 2026 and 2025; (iii) Condensed Consolidated Statements of Stockholders’ Equity for the three months ended March 31, 2026 and 2025; (iv) Condensed Consolidated Statements of Cash Flows for the three months ended March 31, 2026 and 2025; and (v) Notes to the Condensed Consolidated Financial Statements, tagged as blocks of text.</w:t>
      </w:r>
    </w:p>
    <w:p>
      <w:pPr>
        <w:spacing w:after="0" w:line="7" w:lineRule="exact"/>
        <w:rPr>
          <w:rFonts w:ascii="Times New Roman" w:cs="Times New Roman" w:eastAsia="Times New Roman" w:hAnsi="Times New Roman"/>
          <w:sz w:val="16"/>
          <w:szCs w:val="16"/>
          <w:u w:val="single" w:color="auto"/>
          <w:color w:val="0000FF"/>
        </w:rPr>
      </w:pPr>
    </w:p>
    <w:p>
      <w:pPr>
        <w:ind w:left="1100" w:right="3560" w:hanging="701"/>
        <w:spacing w:after="0" w:line="245" w:lineRule="auto"/>
        <w:tabs>
          <w:tab w:leader="none" w:pos="110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cover page from the Company’s Quarterly Report on Form 10-Q for the quarter ended March 31, 2026, formatted in Inline XBRL (included as Exhibit 101).</w:t>
      </w:r>
    </w:p>
    <w:p>
      <w:pPr>
        <w:spacing w:after="0" w:line="258" w:lineRule="exact"/>
        <w:rPr>
          <w:rFonts w:ascii="Times New Roman" w:cs="Times New Roman" w:eastAsia="Times New Roman" w:hAnsi="Times New Roman"/>
          <w:sz w:val="16"/>
          <w:szCs w:val="16"/>
          <w:color w:val="auto"/>
        </w:rPr>
      </w:pPr>
    </w:p>
    <w:p>
      <w:pPr>
        <w:ind w:left="120" w:hanging="112"/>
        <w:spacing w:after="0"/>
        <w:tabs>
          <w:tab w:leader="none" w:pos="1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 or compensatory plan or arrangement.</w:t>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13798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3"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color w:val="auto"/>
        </w:rPr>
        <w:t>+ Certain personal information has been redacted from this exhibit because it is both (i) not material and (ii) is the type that the registrant treats as private or confidential.</w:t>
      </w:r>
    </w:p>
    <w:p>
      <w:pPr>
        <w:spacing w:after="0" w:line="55" w:lineRule="exact"/>
        <w:rPr>
          <w:rFonts w:ascii="Times New Roman" w:cs="Times New Roman" w:eastAsia="Times New Roman" w:hAnsi="Times New Roman"/>
          <w:sz w:val="16"/>
          <w:szCs w:val="16"/>
          <w:u w:val="single" w:color="auto"/>
          <w:color w:val="0000FF"/>
        </w:rPr>
      </w:pPr>
    </w:p>
    <w:p>
      <w:pPr>
        <w:spacing w:after="0"/>
        <w:rPr>
          <w:sz w:val="20"/>
          <w:szCs w:val="20"/>
          <w:color w:val="auto"/>
        </w:rPr>
      </w:pPr>
      <w:r>
        <w:rPr>
          <w:rFonts w:ascii="Times New Roman" w:cs="Times New Roman" w:eastAsia="Times New Roman" w:hAnsi="Times New Roman"/>
          <w:sz w:val="16"/>
          <w:szCs w:val="16"/>
          <w:color w:val="auto"/>
        </w:rPr>
        <w:t>* Filed herewith.</w:t>
      </w:r>
    </w:p>
    <w:p>
      <w:pPr>
        <w:spacing w:after="0" w:line="26" w:lineRule="exact"/>
        <w:rPr>
          <w:rFonts w:ascii="Times New Roman" w:cs="Times New Roman" w:eastAsia="Times New Roman" w:hAnsi="Times New Roman"/>
          <w:sz w:val="16"/>
          <w:szCs w:val="16"/>
          <w:u w:val="single" w:color="auto"/>
          <w:color w:val="0000FF"/>
        </w:rPr>
      </w:pPr>
    </w:p>
    <w:p>
      <w:pPr>
        <w:ind w:right="120" w:firstLine="8"/>
        <w:spacing w:after="0" w:line="270" w:lineRule="auto"/>
        <w:tabs>
          <w:tab w:leader="none" w:pos="20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 This certification is deemed not filed for purposes of Section 18 of the Exchange Act, or otherwise subject to the liability of that section, nor shall it be deemed incorporated by reference into any filing under the Securities Act of 1933, as amended, or the Exchange Act.</w:t>
      </w:r>
    </w:p>
    <w:p>
      <w:pPr>
        <w:spacing w:after="0" w:line="200" w:lineRule="exact"/>
        <w:rPr>
          <w:rFonts w:ascii="Times New Roman" w:cs="Times New Roman" w:eastAsia="Times New Roman" w:hAnsi="Times New Roman"/>
          <w:sz w:val="16"/>
          <w:szCs w:val="16"/>
          <w:u w:val="single" w:color="auto"/>
          <w:color w:val="0000FF"/>
        </w:rPr>
      </w:pPr>
    </w:p>
    <w:p>
      <w:pPr>
        <w:spacing w:after="0" w:line="319" w:lineRule="exact"/>
        <w:rPr>
          <w:rFonts w:ascii="Times New Roman" w:cs="Times New Roman" w:eastAsia="Times New Roman" w:hAnsi="Times New Roman"/>
          <w:sz w:val="16"/>
          <w:szCs w:val="16"/>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type w:val="continuous"/>
        </w:sectPr>
      </w:pPr>
    </w:p>
    <w:bookmarkStart w:id="39" w:name="page40"/>
    <w:bookmarkEnd w:id="3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36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FTI CONSULTING, INC.</w:t>
      </w:r>
    </w:p>
    <w:p>
      <w:pPr>
        <w:spacing w:after="0" w:line="252" w:lineRule="exact"/>
        <w:rPr>
          <w:sz w:val="20"/>
          <w:szCs w:val="20"/>
          <w:color w:val="auto"/>
        </w:rPr>
      </w:pPr>
    </w:p>
    <w:p>
      <w:pPr>
        <w:ind w:left="5600"/>
        <w:spacing w:after="0"/>
        <w:tabs>
          <w:tab w:leader="none" w:pos="7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BRENDAN J. KEATING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17145</wp:posOffset>
            </wp:positionV>
            <wp:extent cx="30346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12"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Brendan J. Keating</w:t>
      </w:r>
    </w:p>
    <w:p>
      <w:pPr>
        <w:spacing w:after="0" w:line="15"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Chief Accounting Officer and</w:t>
      </w:r>
    </w:p>
    <w:p>
      <w:pPr>
        <w:jc w:val="center"/>
        <w:ind w:left="6440"/>
        <w:spacing w:after="0"/>
        <w:rPr>
          <w:sz w:val="20"/>
          <w:szCs w:val="20"/>
          <w:color w:val="auto"/>
        </w:rPr>
      </w:pPr>
      <w:r>
        <w:rPr>
          <w:rFonts w:ascii="Times New Roman" w:cs="Times New Roman" w:eastAsia="Times New Roman" w:hAnsi="Times New Roman"/>
          <w:sz w:val="18"/>
          <w:szCs w:val="18"/>
          <w:b w:val="1"/>
          <w:bCs w:val="1"/>
          <w:color w:val="auto"/>
        </w:rPr>
        <w:t>Controller</w:t>
      </w:r>
    </w:p>
    <w:p>
      <w:pPr>
        <w:spacing w:after="0" w:line="12"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20"/>
          </w:cols>
          <w:pgMar w:left="320" w:top="887" w:right="35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H. Gunby, certify that:</w:t>
      </w:r>
    </w:p>
    <w:p>
      <w:pPr>
        <w:spacing w:after="0" w:line="144" w:lineRule="exact"/>
        <w:rPr>
          <w:sz w:val="20"/>
          <w:szCs w:val="20"/>
          <w:color w:val="auto"/>
        </w:rPr>
      </w:pPr>
    </w:p>
    <w:p>
      <w:pPr>
        <w:ind w:left="740" w:hanging="714"/>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FTI Consulting, Inc.;</w:t>
      </w:r>
    </w:p>
    <w:p>
      <w:pPr>
        <w:spacing w:after="0" w:line="130" w:lineRule="exact"/>
        <w:rPr>
          <w:rFonts w:ascii="Times New Roman" w:cs="Times New Roman" w:eastAsia="Times New Roman" w:hAnsi="Times New Roman"/>
          <w:sz w:val="18"/>
          <w:szCs w:val="18"/>
          <w:color w:val="auto"/>
        </w:rPr>
      </w:pPr>
    </w:p>
    <w:p>
      <w:pPr>
        <w:ind w:left="740" w:right="100" w:hanging="714"/>
        <w:spacing w:after="0" w:line="231" w:lineRule="auto"/>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740" w:right="300" w:hanging="714"/>
        <w:spacing w:after="0" w:line="237" w:lineRule="auto"/>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ind w:left="740" w:right="220" w:hanging="714"/>
        <w:spacing w:after="0" w:line="227" w:lineRule="auto"/>
        <w:tabs>
          <w:tab w:leader="none" w:pos="7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Times New Roman" w:cs="Times New Roman" w:eastAsia="Times New Roman" w:hAnsi="Times New Roman"/>
          <w:sz w:val="17"/>
          <w:szCs w:val="17"/>
          <w:color w:val="auto"/>
        </w:rPr>
      </w:pPr>
    </w:p>
    <w:p>
      <w:pPr>
        <w:ind w:left="7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83" w:lineRule="exact"/>
        <w:rPr>
          <w:rFonts w:ascii="Times New Roman" w:cs="Times New Roman" w:eastAsia="Times New Roman" w:hAnsi="Times New Roman"/>
          <w:sz w:val="17"/>
          <w:szCs w:val="17"/>
          <w:color w:val="auto"/>
        </w:rPr>
      </w:pPr>
    </w:p>
    <w:p>
      <w:pPr>
        <w:ind w:left="980" w:right="60" w:hanging="324"/>
        <w:spacing w:after="0" w:line="257" w:lineRule="auto"/>
        <w:tabs>
          <w:tab w:leader="none" w:pos="97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980" w:right="360" w:hanging="324"/>
        <w:spacing w:after="0" w:line="250" w:lineRule="auto"/>
        <w:tabs>
          <w:tab w:leader="none" w:pos="97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980" w:right="540" w:hanging="324"/>
        <w:spacing w:after="0" w:line="265" w:lineRule="auto"/>
        <w:tabs>
          <w:tab w:leader="none" w:pos="977"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60" w:hanging="324"/>
        <w:spacing w:after="0" w:line="255" w:lineRule="auto"/>
        <w:tabs>
          <w:tab w:leader="none" w:pos="97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4" w:lineRule="exact"/>
        <w:rPr>
          <w:rFonts w:ascii="Times New Roman" w:cs="Times New Roman" w:eastAsia="Times New Roman" w:hAnsi="Times New Roman"/>
          <w:sz w:val="18"/>
          <w:szCs w:val="18"/>
          <w:color w:val="auto"/>
        </w:rPr>
      </w:pPr>
    </w:p>
    <w:p>
      <w:pPr>
        <w:ind w:left="740" w:right="180" w:hanging="714"/>
        <w:spacing w:after="0" w:line="237" w:lineRule="auto"/>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0" w:lineRule="exact"/>
        <w:rPr>
          <w:rFonts w:ascii="Times New Roman" w:cs="Times New Roman" w:eastAsia="Times New Roman" w:hAnsi="Times New Roman"/>
          <w:sz w:val="18"/>
          <w:szCs w:val="18"/>
          <w:color w:val="auto"/>
        </w:rPr>
      </w:pPr>
    </w:p>
    <w:p>
      <w:pPr>
        <w:ind w:left="980" w:right="780" w:hanging="324"/>
        <w:spacing w:after="0" w:line="261" w:lineRule="auto"/>
        <w:tabs>
          <w:tab w:leader="none" w:pos="97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480" w:hanging="324"/>
        <w:spacing w:after="0" w:line="260" w:lineRule="auto"/>
        <w:tabs>
          <w:tab w:leader="none" w:pos="97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387" w:lineRule="exact"/>
        <w:rPr>
          <w:sz w:val="20"/>
          <w:szCs w:val="20"/>
          <w:color w:val="auto"/>
        </w:rPr>
      </w:pPr>
    </w:p>
    <w:p>
      <w:pPr>
        <w:ind w:left="5600"/>
        <w:spacing w:after="0"/>
        <w:tabs>
          <w:tab w:leader="none" w:pos="7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STEVEN H. GUNBY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5915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10"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4"/>
          <w:szCs w:val="14"/>
          <w:b w:val="1"/>
          <w:bCs w:val="1"/>
          <w:color w:val="auto"/>
        </w:rPr>
        <w:t>Steven H. Gunby</w:t>
      </w:r>
    </w:p>
    <w:p>
      <w:pPr>
        <w:spacing w:after="0" w:line="42"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4"/>
          <w:szCs w:val="14"/>
          <w:b w:val="1"/>
          <w:bCs w:val="1"/>
          <w:color w:val="auto"/>
        </w:rPr>
        <w:t>Chief Executive Officer and Chairman</w:t>
      </w:r>
    </w:p>
    <w:p>
      <w:pPr>
        <w:spacing w:after="0" w:line="42"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Pursuant to Rule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Linton, certify that:</w:t>
      </w:r>
    </w:p>
    <w:p>
      <w:pPr>
        <w:spacing w:after="0" w:line="144" w:lineRule="exact"/>
        <w:rPr>
          <w:sz w:val="20"/>
          <w:szCs w:val="20"/>
          <w:color w:val="auto"/>
        </w:rPr>
      </w:pPr>
    </w:p>
    <w:p>
      <w:pPr>
        <w:ind w:left="740" w:hanging="714"/>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FTI Consulting, Inc.;</w:t>
      </w:r>
    </w:p>
    <w:p>
      <w:pPr>
        <w:spacing w:after="0" w:line="130" w:lineRule="exact"/>
        <w:rPr>
          <w:rFonts w:ascii="Times New Roman" w:cs="Times New Roman" w:eastAsia="Times New Roman" w:hAnsi="Times New Roman"/>
          <w:sz w:val="18"/>
          <w:szCs w:val="18"/>
          <w:color w:val="auto"/>
        </w:rPr>
      </w:pPr>
    </w:p>
    <w:p>
      <w:pPr>
        <w:ind w:left="740" w:right="100" w:hanging="714"/>
        <w:spacing w:after="0" w:line="231" w:lineRule="auto"/>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740" w:right="300" w:hanging="714"/>
        <w:spacing w:after="0" w:line="237" w:lineRule="auto"/>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ind w:left="740" w:right="220" w:hanging="714"/>
        <w:spacing w:after="0" w:line="227" w:lineRule="auto"/>
        <w:tabs>
          <w:tab w:leader="none" w:pos="7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Times New Roman" w:cs="Times New Roman" w:eastAsia="Times New Roman" w:hAnsi="Times New Roman"/>
          <w:sz w:val="17"/>
          <w:szCs w:val="17"/>
          <w:color w:val="auto"/>
        </w:rPr>
      </w:pPr>
    </w:p>
    <w:p>
      <w:pPr>
        <w:ind w:left="7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83" w:lineRule="exact"/>
        <w:rPr>
          <w:rFonts w:ascii="Times New Roman" w:cs="Times New Roman" w:eastAsia="Times New Roman" w:hAnsi="Times New Roman"/>
          <w:sz w:val="17"/>
          <w:szCs w:val="17"/>
          <w:color w:val="auto"/>
        </w:rPr>
      </w:pPr>
    </w:p>
    <w:p>
      <w:pPr>
        <w:ind w:left="980" w:right="60" w:hanging="324"/>
        <w:spacing w:after="0" w:line="257" w:lineRule="auto"/>
        <w:tabs>
          <w:tab w:leader="none" w:pos="97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980" w:right="360" w:hanging="324"/>
        <w:spacing w:after="0" w:line="250" w:lineRule="auto"/>
        <w:tabs>
          <w:tab w:leader="none" w:pos="97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980" w:right="540" w:hanging="324"/>
        <w:spacing w:after="0" w:line="265" w:lineRule="auto"/>
        <w:tabs>
          <w:tab w:leader="none" w:pos="977"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60" w:hanging="324"/>
        <w:spacing w:after="0" w:line="255" w:lineRule="auto"/>
        <w:tabs>
          <w:tab w:leader="none" w:pos="97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4" w:lineRule="exact"/>
        <w:rPr>
          <w:rFonts w:ascii="Times New Roman" w:cs="Times New Roman" w:eastAsia="Times New Roman" w:hAnsi="Times New Roman"/>
          <w:sz w:val="18"/>
          <w:szCs w:val="18"/>
          <w:color w:val="auto"/>
        </w:rPr>
      </w:pPr>
    </w:p>
    <w:p>
      <w:pPr>
        <w:ind w:left="740" w:right="180" w:hanging="714"/>
        <w:spacing w:after="0" w:line="237" w:lineRule="auto"/>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0" w:lineRule="exact"/>
        <w:rPr>
          <w:rFonts w:ascii="Times New Roman" w:cs="Times New Roman" w:eastAsia="Times New Roman" w:hAnsi="Times New Roman"/>
          <w:sz w:val="18"/>
          <w:szCs w:val="18"/>
          <w:color w:val="auto"/>
        </w:rPr>
      </w:pPr>
    </w:p>
    <w:p>
      <w:pPr>
        <w:ind w:left="980" w:right="780" w:hanging="324"/>
        <w:spacing w:after="0" w:line="261" w:lineRule="auto"/>
        <w:tabs>
          <w:tab w:leader="none" w:pos="97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480" w:hanging="324"/>
        <w:spacing w:after="0" w:line="260" w:lineRule="auto"/>
        <w:tabs>
          <w:tab w:leader="none" w:pos="97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387" w:lineRule="exact"/>
        <w:rPr>
          <w:sz w:val="20"/>
          <w:szCs w:val="20"/>
          <w:color w:val="auto"/>
        </w:rPr>
      </w:pPr>
    </w:p>
    <w:p>
      <w:pPr>
        <w:ind w:left="5600"/>
        <w:spacing w:after="0"/>
        <w:tabs>
          <w:tab w:leader="none" w:pos="8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LINTON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5915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10"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4"/>
          <w:szCs w:val="14"/>
          <w:b w:val="1"/>
          <w:bCs w:val="1"/>
          <w:color w:val="auto"/>
        </w:rPr>
        <w:t>Paul Linton</w:t>
      </w:r>
    </w:p>
    <w:p>
      <w:pPr>
        <w:spacing w:after="0" w:line="42"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4"/>
          <w:szCs w:val="14"/>
          <w:b w:val="1"/>
          <w:bCs w:val="1"/>
          <w:color w:val="auto"/>
        </w:rPr>
        <w:t>Interim Chief Financial Officer</w:t>
      </w:r>
    </w:p>
    <w:p>
      <w:pPr>
        <w:spacing w:after="0" w:line="42"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40"/>
          </w:cols>
          <w:pgMar w:left="320" w:top="88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FTI Consulting, Inc. (the “Company”) on Form 10-Q for the quarter ended March 31, 2026, as filed with the Securities and Exchange Commission on the date hereof (the “Report”), I, Steven H. Gunby, Chief Executive Officer and Chairman (principal executive officer) of the Company, certify, pursuant to 18 U.S.C. Section 1350, as adopted pursuant to Section 906 of the Sarbanes-Oxley Act of 2002, that to the best of my knowledge:</w:t>
      </w:r>
    </w:p>
    <w:p>
      <w:pPr>
        <w:spacing w:after="0" w:line="99" w:lineRule="exact"/>
        <w:rPr>
          <w:sz w:val="20"/>
          <w:szCs w:val="20"/>
          <w:color w:val="auto"/>
        </w:rPr>
      </w:pPr>
    </w:p>
    <w:p>
      <w:pPr>
        <w:ind w:left="740" w:hanging="714"/>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30" w:lineRule="exact"/>
        <w:rPr>
          <w:rFonts w:ascii="Times New Roman" w:cs="Times New Roman" w:eastAsia="Times New Roman" w:hAnsi="Times New Roman"/>
          <w:sz w:val="18"/>
          <w:szCs w:val="18"/>
          <w:color w:val="auto"/>
        </w:rPr>
      </w:pPr>
    </w:p>
    <w:p>
      <w:pPr>
        <w:ind w:right="120" w:firstLine="26"/>
        <w:spacing w:after="0" w:line="391" w:lineRule="auto"/>
        <w:tabs>
          <w:tab w:leader="none" w:pos="73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April 30, 2026</w:t>
      </w:r>
    </w:p>
    <w:p>
      <w:pPr>
        <w:spacing w:after="0" w:line="244" w:lineRule="exact"/>
        <w:rPr>
          <w:sz w:val="20"/>
          <w:szCs w:val="20"/>
          <w:color w:val="auto"/>
        </w:rPr>
      </w:pPr>
    </w:p>
    <w:p>
      <w:pPr>
        <w:ind w:left="6080"/>
        <w:spacing w:after="0"/>
        <w:tabs>
          <w:tab w:leader="none" w:pos="8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STEVEN H. GUNBY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26035</wp:posOffset>
            </wp:positionV>
            <wp:extent cx="32918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23"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4"/>
          <w:szCs w:val="14"/>
          <w:b w:val="1"/>
          <w:bCs w:val="1"/>
          <w:color w:val="auto"/>
        </w:rPr>
        <w:t>Steven H. Gunby</w:t>
      </w:r>
    </w:p>
    <w:p>
      <w:pPr>
        <w:spacing w:after="0" w:line="42"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4"/>
          <w:szCs w:val="14"/>
          <w:b w:val="1"/>
          <w:bCs w:val="1"/>
          <w:color w:val="auto"/>
        </w:rPr>
        <w:t>Chief Executive Officer and Chairman</w:t>
      </w:r>
    </w:p>
    <w:p>
      <w:pPr>
        <w:spacing w:after="0" w:line="42"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31"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FTI Consulting, Inc. (the “Company”) on Form 10-Q for the quarter ended March 31, 2026, as filed with the Securities and Exchange Commission on the date hereof (the “Report”), I, Paul Linton, Interim Chief Financial Officer (principal financial officer) of the Company, certify, pursuant to 18 U.S.C. Section 1350, as adopted pursuant to Section 906 of the Sarbanes-Oxley Act of 2002, that to the best of my knowledge:</w:t>
      </w:r>
    </w:p>
    <w:p>
      <w:pPr>
        <w:spacing w:after="0" w:line="99" w:lineRule="exact"/>
        <w:rPr>
          <w:sz w:val="20"/>
          <w:szCs w:val="20"/>
          <w:color w:val="auto"/>
        </w:rPr>
      </w:pPr>
    </w:p>
    <w:p>
      <w:pPr>
        <w:ind w:left="740" w:hanging="714"/>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30" w:lineRule="exact"/>
        <w:rPr>
          <w:rFonts w:ascii="Times New Roman" w:cs="Times New Roman" w:eastAsia="Times New Roman" w:hAnsi="Times New Roman"/>
          <w:sz w:val="18"/>
          <w:szCs w:val="18"/>
          <w:color w:val="auto"/>
        </w:rPr>
      </w:pPr>
    </w:p>
    <w:p>
      <w:pPr>
        <w:ind w:right="120" w:firstLine="26"/>
        <w:spacing w:after="0" w:line="391" w:lineRule="auto"/>
        <w:tabs>
          <w:tab w:leader="none" w:pos="73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April 30, 2026</w:t>
      </w:r>
    </w:p>
    <w:p>
      <w:pPr>
        <w:spacing w:after="0" w:line="244" w:lineRule="exact"/>
        <w:rPr>
          <w:sz w:val="20"/>
          <w:szCs w:val="20"/>
          <w:color w:val="auto"/>
        </w:rPr>
      </w:pPr>
    </w:p>
    <w:p>
      <w:pPr>
        <w:ind w:left="6000"/>
        <w:spacing w:after="0"/>
        <w:tabs>
          <w:tab w:leader="none" w:pos="8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PAUL LINTON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26035</wp:posOffset>
            </wp:positionV>
            <wp:extent cx="33343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23"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4"/>
          <w:szCs w:val="14"/>
          <w:b w:val="1"/>
          <w:bCs w:val="1"/>
          <w:color w:val="auto"/>
        </w:rPr>
        <w:t>Paul Linton</w:t>
      </w:r>
    </w:p>
    <w:p>
      <w:pPr>
        <w:spacing w:after="0" w:line="42"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4"/>
          <w:szCs w:val="14"/>
          <w:b w:val="1"/>
          <w:bCs w:val="1"/>
          <w:color w:val="auto"/>
        </w:rPr>
        <w:t>Interim Chief Financial Officer</w:t>
      </w:r>
    </w:p>
    <w:p>
      <w:pPr>
        <w:spacing w:after="0" w:line="42"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331"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lowerRoman"/>
      <w:start w:val="6"/>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decimal"/>
      <w:start w:val="7"/>
    </w:lvl>
  </w:abstractNum>
  <w:abstractNum w:abstractNumId="18">
    <w:nsid w:val="721DA317"/>
    <w:multiLevelType w:val="hybridMultilevel"/>
    <w:lvl w:ilvl="0">
      <w:lvlJc w:val="left"/>
      <w:lvlText w:val="%1"/>
      <w:numFmt w:val="decimal"/>
      <w:start w:val="101"/>
    </w:lvl>
  </w:abstractNum>
  <w:abstractNum w:abstractNumId="19">
    <w:nsid w:val="2443A858"/>
    <w:multiLevelType w:val="hybridMultilevel"/>
    <w:lvl w:ilvl="0">
      <w:lvlJc w:val="left"/>
      <w:lvlText w:val="†"/>
      <w:numFmt w:val="bullet"/>
      <w:start w:val="1"/>
    </w:lvl>
    <w:lvl w:ilvl="1">
      <w:lvlJc w:val="left"/>
      <w:lvlText w:val="%2"/>
      <w:numFmt w:val="decimal"/>
      <w:start w:val="104"/>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70" Type="http://schemas.openxmlformats.org/officeDocument/2006/relationships/hyperlink" Target="https://www.sec.gov/Archives/edgar/data/887936/000102140803008198/dex992.txt" TargetMode="External"/><Relationship Id="rId71" Type="http://schemas.openxmlformats.org/officeDocument/2006/relationships/hyperlink" Target="https://www.sec.gov/Archives/edgar/data/887936/000119312511157222/dex31.htm" TargetMode="External"/><Relationship Id="rId72" Type="http://schemas.openxmlformats.org/officeDocument/2006/relationships/hyperlink" Target="https://www.sec.gov/Archives/edgar/data/887936/000119312523043569/d465351dex31.htm" TargetMode="External"/><Relationship Id="rId73" Type="http://schemas.openxmlformats.org/officeDocument/2006/relationships/hyperlink" Target="https://www.sec.gov/Archives/edgar/data/887936/000119312526097589/fcn-ex10_1.htm" TargetMode="External"/><Relationship Id="rId74" Type="http://schemas.openxmlformats.org/officeDocument/2006/relationships/hyperlink" Target="https://www.sec.gov/Archives/edgar/data/887936/000119312526114160/fcn-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2026-04-30T06:33:54Z</dcterms:created>
  <dcterms:modified xsi:type="dcterms:W3CDTF">2026-04-30T06:33:54Z</dcterms:modified>
</cp:coreProperties>
</file>