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40" w:after="283"/>
        <w:jc w:val="center"/>
        <w:rPr>
          <w:rFonts w:ascii="Times New Roman;serif" w:hAnsi="Times New Roman;serif"/>
          <w:b/>
          <w:color w:val="000000"/>
          <w:sz w:val="18"/>
        </w:rPr>
      </w:pPr>
      <w:r>
        <w:rPr>
          <w:rFonts w:ascii="Times New Roman;serif" w:hAnsi="Times New Roman;serif"/>
          <w:b/>
          <w:color w:val="000000"/>
          <w:sz w:val="18"/>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20" w:after="283"/>
        <w:ind w:left="0" w:right="0" w:firstLine="540"/>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001-14875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FTI CONSULTING, INC.</w:t>
      </w:r>
    </w:p>
    <w:p>
      <w:pPr>
        <w:pStyle w:val="TextBody"/>
        <w:bidi w:val="0"/>
        <w:spacing w:lineRule="auto" w:line="288" w:before="0" w:after="0"/>
        <w:jc w:val="center"/>
        <w:rPr/>
      </w:pPr>
      <w:r>
        <w:rPr>
          <w:rFonts w:ascii="Times New Roman;serif" w:hAnsi="Times New Roman;serif"/>
          <w:b/>
          <w:color w:val="000000"/>
          <w:sz w:val="20"/>
        </w:rPr>
        <w:t>(Exact Name of Registrant as Specified in its Charter)</w:t>
      </w:r>
      <w:r>
        <w:rPr>
          <w:color w:val="000000"/>
        </w:rPr>
        <w:t> </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5152" w:type="dxa"/>
        <w:jc w:val="center"/>
        <w:tblInd w:w="0" w:type="dxa"/>
        <w:tblLayout w:type="fixed"/>
        <w:tblCellMar>
          <w:top w:w="28" w:type="dxa"/>
          <w:left w:w="28" w:type="dxa"/>
          <w:bottom w:w="28" w:type="dxa"/>
          <w:right w:w="28" w:type="dxa"/>
        </w:tblCellMar>
      </w:tblPr>
      <w:tblGrid>
        <w:gridCol w:w="1088"/>
        <w:gridCol w:w="959"/>
        <w:gridCol w:w="967"/>
        <w:gridCol w:w="109"/>
        <w:gridCol w:w="109"/>
        <w:gridCol w:w="109"/>
        <w:gridCol w:w="109"/>
        <w:gridCol w:w="109"/>
        <w:gridCol w:w="109"/>
        <w:gridCol w:w="433"/>
        <w:gridCol w:w="433"/>
        <w:gridCol w:w="618"/>
      </w:tblGrid>
      <w:tr>
        <w:trPr/>
        <w:tc>
          <w:tcPr>
            <w:tcW w:w="1088"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52-1261113</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555 12th Street NW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Washington,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20004</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(202) 312-9100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tbl>
      <w:tblPr>
        <w:tblW w:w="496" w:type="dxa"/>
        <w:jc w:val="center"/>
        <w:tblInd w:w="0" w:type="dxa"/>
        <w:tblLayout w:type="fixed"/>
        <w:tblCellMar>
          <w:top w:w="28" w:type="dxa"/>
          <w:left w:w="28" w:type="dxa"/>
          <w:bottom w:w="28" w:type="dxa"/>
          <w:right w:w="28" w:type="dxa"/>
        </w:tblCellMar>
      </w:tblPr>
      <w:tblGrid>
        <w:gridCol w:w="12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077" w:type="dxa"/>
        <w:jc w:val="center"/>
        <w:tblInd w:w="0" w:type="dxa"/>
        <w:tblLayout w:type="fixed"/>
        <w:tblCellMar>
          <w:top w:w="28" w:type="dxa"/>
          <w:left w:w="28" w:type="dxa"/>
          <w:bottom w:w="28" w:type="dxa"/>
          <w:right w:w="28" w:type="dxa"/>
        </w:tblCellMar>
      </w:tblPr>
      <w:tblGrid>
        <w:gridCol w:w="933"/>
        <w:gridCol w:w="821"/>
        <w:gridCol w:w="826"/>
        <w:gridCol w:w="109"/>
        <w:gridCol w:w="109"/>
        <w:gridCol w:w="109"/>
        <w:gridCol w:w="454"/>
        <w:gridCol w:w="454"/>
        <w:gridCol w:w="456"/>
        <w:gridCol w:w="109"/>
        <w:gridCol w:w="109"/>
        <w:gridCol w:w="109"/>
        <w:gridCol w:w="1019"/>
        <w:gridCol w:w="1019"/>
        <w:gridCol w:w="1441"/>
      </w:tblGrid>
      <w:tr>
        <w:trPr/>
        <w:tc>
          <w:tcPr>
            <w:tcW w:w="93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FCN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New York Stock Exchange</w:t>
            </w:r>
          </w:p>
        </w:tc>
      </w:tr>
    </w:tbl>
    <w:p>
      <w:pPr>
        <w:pStyle w:val="TextBody"/>
        <w:bidi w:val="0"/>
        <w:spacing w:lineRule="auto" w:line="288" w:before="0" w:after="0"/>
        <w:ind w:left="0" w:right="0" w:firstLine="540"/>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60" w:after="283"/>
        <w:ind w:left="0" w:right="0" w:firstLine="540"/>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60" w:after="283"/>
        <w:ind w:left="0" w:right="0" w:firstLine="54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405"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678"/>
        <w:gridCol w:w="678"/>
        <w:gridCol w:w="685"/>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540"/>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40" w:after="283"/>
        <w:ind w:left="0" w:right="0" w:firstLine="540"/>
        <w:jc w:val="left"/>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40" w:after="283"/>
        <w:ind w:left="0" w:right="0" w:firstLine="540"/>
        <w:jc w:val="left"/>
        <w:rPr>
          <w:rFonts w:ascii="Times New Roman;serif" w:hAnsi="Times New Roman;serif"/>
          <w:b w:val="false"/>
          <w:color w:val="000000"/>
          <w:sz w:val="18"/>
        </w:rPr>
      </w:pPr>
      <w:r>
        <w:rPr>
          <w:rFonts w:ascii="Times New Roman;serif" w:hAnsi="Times New Roman;serif"/>
          <w:b w:val="false"/>
          <w:color w:val="000000"/>
          <w:sz w:val="18"/>
        </w:rPr>
        <w:t>Indicate the number of shares outstanding of each of the issuer’s classes of common stock, as of the latest practicable date. </w:t>
      </w:r>
    </w:p>
    <w:tbl>
      <w:tblPr>
        <w:tblW w:w="4784" w:type="dxa"/>
        <w:jc w:val="center"/>
        <w:tblInd w:w="0" w:type="dxa"/>
        <w:tblLayout w:type="fixed"/>
        <w:tblCellMar>
          <w:top w:w="28" w:type="dxa"/>
          <w:left w:w="28" w:type="dxa"/>
          <w:bottom w:w="28" w:type="dxa"/>
          <w:right w:w="28" w:type="dxa"/>
        </w:tblCellMar>
      </w:tblPr>
      <w:tblGrid>
        <w:gridCol w:w="872"/>
        <w:gridCol w:w="767"/>
        <w:gridCol w:w="776"/>
        <w:gridCol w:w="694"/>
        <w:gridCol w:w="694"/>
        <w:gridCol w:w="981"/>
      </w:tblGrid>
      <w:tr>
        <w:trPr/>
        <w:tc>
          <w:tcPr>
            <w:tcW w:w="87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Class</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u w:val="single"/>
              </w:rPr>
            </w:pPr>
            <w:r>
              <w:rPr>
                <w:rFonts w:ascii="Times New Roman;serif" w:hAnsi="Times New Roman;serif"/>
                <w:b/>
                <w:color w:val="000000"/>
                <w:sz w:val="18"/>
                <w:u w:val="single"/>
              </w:rPr>
              <w:t>Outstanding at July 23, 2026</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27,611,575</w:t>
            </w:r>
          </w:p>
        </w:tc>
      </w:tr>
    </w:tbl>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FTI CONSULTING, INC. AND SUBSIDIARIES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INDEX</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37"/>
        <w:gridCol w:w="297"/>
        <w:gridCol w:w="268"/>
        <w:gridCol w:w="2659"/>
        <w:gridCol w:w="2566"/>
        <w:gridCol w:w="2575"/>
        <w:gridCol w:w="435"/>
        <w:gridCol w:w="435"/>
        <w:gridCol w:w="633"/>
      </w:tblGrid>
      <w:tr>
        <w:trPr/>
        <w:tc>
          <w:tcPr>
            <w:tcW w:w="33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257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0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Page</w:t>
            </w:r>
            <w:r>
              <w:rPr>
                <w:color w:val="000000"/>
              </w:rPr>
              <w:t> </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e2ef0c095e0646bf8c936026b24fb151_10">
              <w:r>
                <w:rPr>
                  <w:rStyle w:val="InternetLink"/>
                  <w:rFonts w:ascii="Times New Roman;serif" w:hAnsi="Times New Roman;serif"/>
                  <w:b/>
                  <w:color w:val="0000FF"/>
                  <w:sz w:val="20"/>
                  <w:u w:val="single"/>
                </w:rPr>
                <w:t>PART I—FINANCIAL INFORMATION</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ef0c095e0646bf8c936026b24fb151_13">
              <w:r>
                <w:rPr>
                  <w:rStyle w:val="InternetLink"/>
                  <w:rFonts w:ascii="Times New Roman;serif" w:hAnsi="Times New Roman;serif"/>
                  <w:b w:val="false"/>
                  <w:strike w:val="false"/>
                  <w:dstrike w:val="false"/>
                  <w:color w:val="000000"/>
                  <w:sz w:val="20"/>
                  <w:u w:val="none"/>
                  <w:effect w:val="none"/>
                </w:rPr>
                <w:t>Item 1.</w:t>
              </w:r>
            </w:hyperlink>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ef0c095e0646bf8c936026b24fb151_13">
              <w:r>
                <w:rPr>
                  <w:rStyle w:val="InternetLink"/>
                  <w:rFonts w:ascii="Times New Roman;serif" w:hAnsi="Times New Roman;serif"/>
                  <w:b w:val="false"/>
                  <w:color w:val="0000FF"/>
                  <w:sz w:val="20"/>
                  <w:u w:val="single"/>
                </w:rPr>
                <w:t>Financial Statements</w:t>
              </w:r>
            </w:hyperlink>
          </w:p>
        </w:tc>
        <w:tc>
          <w:tcPr>
            <w:tcW w:w="150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ef0c095e0646bf8c936026b24fb151_13">
              <w:r>
                <w:rPr>
                  <w:rStyle w:val="InternetLink"/>
                  <w:rFonts w:ascii="Times New Roman;serif" w:hAnsi="Times New Roman;serif"/>
                  <w:b w:val="false"/>
                  <w:strike w:val="false"/>
                  <w:dstrike w:val="false"/>
                  <w:color w:val="000000"/>
                  <w:sz w:val="20"/>
                  <w:u w:val="none"/>
                  <w:effect w:val="none"/>
                </w:rPr>
                <w:t>3</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ef0c095e0646bf8c936026b24fb151_16">
              <w:r>
                <w:rPr>
                  <w:rStyle w:val="InternetLink"/>
                  <w:rFonts w:ascii="Times New Roman;serif" w:hAnsi="Times New Roman;serif"/>
                  <w:b w:val="false"/>
                  <w:color w:val="000080"/>
                  <w:sz w:val="20"/>
                  <w:u w:val="single"/>
                </w:rPr>
                <w:t>Condensed Consolidated Balance Sheets—</w:t>
              </w:r>
            </w:hyperlink>
            <w:hyperlink w:anchor="ie2ef0c095e0646bf8c936026b24fb151_16">
              <w:r>
                <w:rPr>
                  <w:rStyle w:val="InternetLink"/>
                  <w:rFonts w:ascii="Times New Roman;serif" w:hAnsi="Times New Roman;serif"/>
                  <w:b w:val="false"/>
                  <w:color w:val="000080"/>
                  <w:sz w:val="20"/>
                  <w:u w:val="single"/>
                </w:rPr>
                <w:t>June</w:t>
              </w:r>
            </w:hyperlink>
            <w:hyperlink w:anchor="ie2ef0c095e0646bf8c936026b24fb151_16">
              <w:r>
                <w:rPr>
                  <w:rStyle w:val="InternetLink"/>
                  <w:rFonts w:ascii="Times New Roman;serif" w:hAnsi="Times New Roman;serif"/>
                  <w:b w:val="false"/>
                  <w:color w:val="000080"/>
                  <w:sz w:val="20"/>
                  <w:u w:val="single"/>
                </w:rPr>
                <w:t xml:space="preserve"> 3</w:t>
              </w:r>
            </w:hyperlink>
            <w:hyperlink w:anchor="ie2ef0c095e0646bf8c936026b24fb151_16">
              <w:r>
                <w:rPr>
                  <w:rStyle w:val="InternetLink"/>
                  <w:rFonts w:ascii="Times New Roman;serif" w:hAnsi="Times New Roman;serif"/>
                  <w:b w:val="false"/>
                  <w:color w:val="000080"/>
                  <w:sz w:val="20"/>
                  <w:u w:val="single"/>
                </w:rPr>
                <w:t>0</w:t>
              </w:r>
            </w:hyperlink>
            <w:hyperlink w:anchor="ie2ef0c095e0646bf8c936026b24fb151_16">
              <w:r>
                <w:rPr>
                  <w:rStyle w:val="InternetLink"/>
                  <w:rFonts w:ascii="Times New Roman;serif" w:hAnsi="Times New Roman;serif"/>
                  <w:b w:val="false"/>
                  <w:color w:val="000080"/>
                  <w:sz w:val="20"/>
                  <w:u w:val="single"/>
                </w:rPr>
                <w:t>, 2026 and December 31, 2025</w:t>
              </w:r>
            </w:hyperlink>
          </w:p>
        </w:tc>
        <w:tc>
          <w:tcPr>
            <w:tcW w:w="150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ef0c095e0646bf8c936026b24fb151_16">
              <w:r>
                <w:rPr>
                  <w:rStyle w:val="InternetLink"/>
                  <w:rFonts w:ascii="Times New Roman;serif" w:hAnsi="Times New Roman;serif"/>
                  <w:b w:val="false"/>
                  <w:strike w:val="false"/>
                  <w:dstrike w:val="false"/>
                  <w:color w:val="000000"/>
                  <w:sz w:val="20"/>
                  <w:u w:val="none"/>
                  <w:effect w:val="none"/>
                </w:rPr>
                <w:t>3</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00" w:type="dxa"/>
            <w:gridSpan w:val="3"/>
            <w:tcBorders/>
            <w:tcMar>
              <w:top w:w="0" w:type="dxa"/>
              <w:left w:w="0" w:type="dxa"/>
              <w:bottom w:w="0" w:type="dxa"/>
              <w:right w:w="0" w:type="dxa"/>
            </w:tcMar>
            <w:vAlign w:val="center"/>
          </w:tcPr>
          <w:p>
            <w:pPr>
              <w:pStyle w:val="TableContents"/>
              <w:bidi w:val="0"/>
              <w:spacing w:lineRule="auto" w:line="288" w:before="0" w:after="80"/>
              <w:jc w:val="left"/>
              <w:rPr/>
            </w:pPr>
            <w:hyperlink w:anchor="ie2ef0c095e0646bf8c936026b24fb151_22">
              <w:r>
                <w:rPr>
                  <w:rStyle w:val="InternetLink"/>
                  <w:rFonts w:ascii="Times New Roman;serif" w:hAnsi="Times New Roman;serif"/>
                  <w:b w:val="false"/>
                  <w:color w:val="000080"/>
                  <w:sz w:val="20"/>
                  <w:u w:val="single"/>
                </w:rPr>
                <w:t xml:space="preserve">Condensed Consolidated Statements of Comprehensive Income—Three </w:t>
              </w:r>
            </w:hyperlink>
            <w:hyperlink w:anchor="ie2ef0c095e0646bf8c936026b24fb151_22">
              <w:r>
                <w:rPr>
                  <w:rStyle w:val="InternetLink"/>
                  <w:rFonts w:ascii="Times New Roman;serif" w:hAnsi="Times New Roman;serif"/>
                  <w:b w:val="false"/>
                  <w:color w:val="000080"/>
                  <w:sz w:val="20"/>
                  <w:u w:val="single"/>
                </w:rPr>
                <w:t xml:space="preserve">and Six </w:t>
              </w:r>
            </w:hyperlink>
            <w:hyperlink w:anchor="ie2ef0c095e0646bf8c936026b24fb151_22">
              <w:r>
                <w:rPr>
                  <w:rStyle w:val="InternetLink"/>
                  <w:rFonts w:ascii="Times New Roman;serif" w:hAnsi="Times New Roman;serif"/>
                  <w:b w:val="false"/>
                  <w:color w:val="000080"/>
                  <w:sz w:val="20"/>
                  <w:u w:val="single"/>
                </w:rPr>
                <w:t xml:space="preserve">Months Ended </w:t>
              </w:r>
            </w:hyperlink>
            <w:hyperlink w:anchor="ie2ef0c095e0646bf8c936026b24fb151_22">
              <w:r>
                <w:rPr>
                  <w:rStyle w:val="InternetLink"/>
                  <w:rFonts w:ascii="Times New Roman;serif" w:hAnsi="Times New Roman;serif"/>
                  <w:b w:val="false"/>
                  <w:color w:val="000080"/>
                  <w:sz w:val="20"/>
                  <w:u w:val="single"/>
                </w:rPr>
                <w:t>June</w:t>
              </w:r>
            </w:hyperlink>
            <w:hyperlink w:anchor="ie2ef0c095e0646bf8c936026b24fb151_22">
              <w:r>
                <w:rPr>
                  <w:rStyle w:val="InternetLink"/>
                  <w:rFonts w:ascii="Times New Roman;serif" w:hAnsi="Times New Roman;serif"/>
                  <w:b w:val="false"/>
                  <w:color w:val="000080"/>
                  <w:sz w:val="20"/>
                  <w:u w:val="single"/>
                </w:rPr>
                <w:t xml:space="preserve"> 3</w:t>
              </w:r>
            </w:hyperlink>
            <w:hyperlink w:anchor="ie2ef0c095e0646bf8c936026b24fb151_22">
              <w:r>
                <w:rPr>
                  <w:rStyle w:val="InternetLink"/>
                  <w:rFonts w:ascii="Times New Roman;serif" w:hAnsi="Times New Roman;serif"/>
                  <w:b w:val="false"/>
                  <w:color w:val="000080"/>
                  <w:sz w:val="20"/>
                  <w:u w:val="single"/>
                </w:rPr>
                <w:t>0</w:t>
              </w:r>
            </w:hyperlink>
            <w:hyperlink w:anchor="ie2ef0c095e0646bf8c936026b24fb151_22">
              <w:r>
                <w:rPr>
                  <w:rStyle w:val="InternetLink"/>
                  <w:rFonts w:ascii="Times New Roman;serif" w:hAnsi="Times New Roman;serif"/>
                  <w:b w:val="false"/>
                  <w:color w:val="000080"/>
                  <w:sz w:val="20"/>
                  <w:u w:val="single"/>
                </w:rPr>
                <w:t>, 2026 and 2025</w:t>
              </w:r>
            </w:hyperlink>
          </w:p>
        </w:tc>
        <w:tc>
          <w:tcPr>
            <w:tcW w:w="150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ef0c095e0646bf8c936026b24fb151_22">
              <w:r>
                <w:rPr>
                  <w:rStyle w:val="InternetLink"/>
                  <w:rFonts w:ascii="Times New Roman;serif" w:hAnsi="Times New Roman;serif"/>
                  <w:b w:val="false"/>
                  <w:strike w:val="false"/>
                  <w:dstrike w:val="false"/>
                  <w:color w:val="000000"/>
                  <w:sz w:val="20"/>
                  <w:u w:val="none"/>
                  <w:effect w:val="none"/>
                </w:rPr>
                <w:t>4</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00" w:type="dxa"/>
            <w:gridSpan w:val="3"/>
            <w:tcBorders/>
            <w:tcMar>
              <w:top w:w="0" w:type="dxa"/>
              <w:left w:w="0" w:type="dxa"/>
              <w:bottom w:w="0" w:type="dxa"/>
              <w:right w:w="0" w:type="dxa"/>
            </w:tcMar>
            <w:vAlign w:val="center"/>
          </w:tcPr>
          <w:p>
            <w:pPr>
              <w:pStyle w:val="TableContents"/>
              <w:bidi w:val="0"/>
              <w:spacing w:lineRule="auto" w:line="288" w:before="0" w:after="80"/>
              <w:jc w:val="left"/>
              <w:rPr/>
            </w:pPr>
            <w:hyperlink w:anchor="ie2ef0c095e0646bf8c936026b24fb151_25">
              <w:r>
                <w:rPr>
                  <w:rStyle w:val="InternetLink"/>
                  <w:rFonts w:ascii="Times New Roman;serif" w:hAnsi="Times New Roman;serif"/>
                  <w:b w:val="false"/>
                  <w:color w:val="000080"/>
                  <w:sz w:val="20"/>
                  <w:u w:val="single"/>
                </w:rPr>
                <w:t xml:space="preserve">Condensed Consolidated Statements of Stockholders’ Equity—Three </w:t>
              </w:r>
            </w:hyperlink>
            <w:hyperlink w:anchor="ie2ef0c095e0646bf8c936026b24fb151_25">
              <w:r>
                <w:rPr>
                  <w:rStyle w:val="InternetLink"/>
                  <w:rFonts w:ascii="Times New Roman;serif" w:hAnsi="Times New Roman;serif"/>
                  <w:b w:val="false"/>
                  <w:color w:val="000080"/>
                  <w:sz w:val="20"/>
                  <w:u w:val="single"/>
                </w:rPr>
                <w:t xml:space="preserve">and Six </w:t>
              </w:r>
            </w:hyperlink>
            <w:hyperlink w:anchor="ie2ef0c095e0646bf8c936026b24fb151_25">
              <w:r>
                <w:rPr>
                  <w:rStyle w:val="InternetLink"/>
                  <w:rFonts w:ascii="Times New Roman;serif" w:hAnsi="Times New Roman;serif"/>
                  <w:b w:val="false"/>
                  <w:color w:val="000080"/>
                  <w:sz w:val="20"/>
                  <w:u w:val="single"/>
                </w:rPr>
                <w:t xml:space="preserve">Months Ended </w:t>
              </w:r>
            </w:hyperlink>
            <w:hyperlink w:anchor="ie2ef0c095e0646bf8c936026b24fb151_25">
              <w:r>
                <w:rPr>
                  <w:rStyle w:val="InternetLink"/>
                  <w:rFonts w:ascii="Times New Roman;serif" w:hAnsi="Times New Roman;serif"/>
                  <w:b w:val="false"/>
                  <w:color w:val="000080"/>
                  <w:sz w:val="20"/>
                  <w:u w:val="single"/>
                </w:rPr>
                <w:t>June</w:t>
              </w:r>
            </w:hyperlink>
            <w:hyperlink w:anchor="ie2ef0c095e0646bf8c936026b24fb151_25">
              <w:r>
                <w:rPr>
                  <w:rStyle w:val="InternetLink"/>
                  <w:rFonts w:ascii="Times New Roman;serif" w:hAnsi="Times New Roman;serif"/>
                  <w:b w:val="false"/>
                  <w:color w:val="000080"/>
                  <w:sz w:val="20"/>
                  <w:u w:val="single"/>
                </w:rPr>
                <w:t xml:space="preserve"> 3</w:t>
              </w:r>
            </w:hyperlink>
            <w:hyperlink w:anchor="ie2ef0c095e0646bf8c936026b24fb151_25">
              <w:r>
                <w:rPr>
                  <w:rStyle w:val="InternetLink"/>
                  <w:rFonts w:ascii="Times New Roman;serif" w:hAnsi="Times New Roman;serif"/>
                  <w:b w:val="false"/>
                  <w:color w:val="000080"/>
                  <w:sz w:val="20"/>
                  <w:u w:val="single"/>
                </w:rPr>
                <w:t>0</w:t>
              </w:r>
            </w:hyperlink>
            <w:hyperlink w:anchor="ie2ef0c095e0646bf8c936026b24fb151_25">
              <w:r>
                <w:rPr>
                  <w:rStyle w:val="InternetLink"/>
                  <w:rFonts w:ascii="Times New Roman;serif" w:hAnsi="Times New Roman;serif"/>
                  <w:b w:val="false"/>
                  <w:color w:val="000080"/>
                  <w:sz w:val="20"/>
                  <w:u w:val="single"/>
                </w:rPr>
                <w:t>, 2026 and 2025</w:t>
              </w:r>
            </w:hyperlink>
          </w:p>
        </w:tc>
        <w:tc>
          <w:tcPr>
            <w:tcW w:w="150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ef0c095e0646bf8c936026b24fb151_25">
              <w:r>
                <w:rPr>
                  <w:rStyle w:val="InternetLink"/>
                  <w:rFonts w:ascii="Times New Roman;serif" w:hAnsi="Times New Roman;serif"/>
                  <w:b w:val="false"/>
                  <w:strike w:val="false"/>
                  <w:dstrike w:val="false"/>
                  <w:color w:val="000000"/>
                  <w:sz w:val="20"/>
                  <w:u w:val="none"/>
                  <w:effect w:val="none"/>
                </w:rPr>
                <w:t>5</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ef0c095e0646bf8c936026b24fb151_31">
              <w:r>
                <w:rPr>
                  <w:rStyle w:val="InternetLink"/>
                  <w:rFonts w:ascii="Times New Roman;serif" w:hAnsi="Times New Roman;serif"/>
                  <w:b w:val="false"/>
                  <w:color w:val="000080"/>
                  <w:sz w:val="20"/>
                  <w:u w:val="single"/>
                </w:rPr>
                <w:t>Condensed Consolidated Statements of Cash Flows—</w:t>
              </w:r>
            </w:hyperlink>
            <w:hyperlink w:anchor="ie2ef0c095e0646bf8c936026b24fb151_31">
              <w:r>
                <w:rPr>
                  <w:rStyle w:val="InternetLink"/>
                  <w:rFonts w:ascii="Times New Roman;serif" w:hAnsi="Times New Roman;serif"/>
                  <w:b w:val="false"/>
                  <w:color w:val="000080"/>
                  <w:sz w:val="20"/>
                  <w:u w:val="single"/>
                </w:rPr>
                <w:t>Six</w:t>
              </w:r>
            </w:hyperlink>
            <w:hyperlink w:anchor="ie2ef0c095e0646bf8c936026b24fb151_31">
              <w:r>
                <w:rPr>
                  <w:rStyle w:val="InternetLink"/>
                  <w:rFonts w:ascii="Times New Roman;serif" w:hAnsi="Times New Roman;serif"/>
                  <w:b w:val="false"/>
                  <w:color w:val="000080"/>
                  <w:sz w:val="20"/>
                  <w:u w:val="single"/>
                </w:rPr>
                <w:t xml:space="preserve"> Months Ended </w:t>
              </w:r>
            </w:hyperlink>
            <w:hyperlink w:anchor="ie2ef0c095e0646bf8c936026b24fb151_31">
              <w:r>
                <w:rPr>
                  <w:rStyle w:val="InternetLink"/>
                  <w:rFonts w:ascii="Times New Roman;serif" w:hAnsi="Times New Roman;serif"/>
                  <w:b w:val="false"/>
                  <w:color w:val="000080"/>
                  <w:sz w:val="20"/>
                  <w:u w:val="single"/>
                </w:rPr>
                <w:t>June</w:t>
              </w:r>
            </w:hyperlink>
            <w:hyperlink w:anchor="ie2ef0c095e0646bf8c936026b24fb151_31">
              <w:r>
                <w:rPr>
                  <w:rStyle w:val="InternetLink"/>
                  <w:rFonts w:ascii="Times New Roman;serif" w:hAnsi="Times New Roman;serif"/>
                  <w:b w:val="false"/>
                  <w:color w:val="000080"/>
                  <w:sz w:val="20"/>
                  <w:u w:val="single"/>
                </w:rPr>
                <w:t xml:space="preserve"> 3</w:t>
              </w:r>
            </w:hyperlink>
            <w:hyperlink w:anchor="ie2ef0c095e0646bf8c936026b24fb151_31">
              <w:r>
                <w:rPr>
                  <w:rStyle w:val="InternetLink"/>
                  <w:rFonts w:ascii="Times New Roman;serif" w:hAnsi="Times New Roman;serif"/>
                  <w:b w:val="false"/>
                  <w:color w:val="000080"/>
                  <w:sz w:val="20"/>
                  <w:u w:val="single"/>
                </w:rPr>
                <w:t>0</w:t>
              </w:r>
            </w:hyperlink>
            <w:hyperlink w:anchor="ie2ef0c095e0646bf8c936026b24fb151_31">
              <w:r>
                <w:rPr>
                  <w:rStyle w:val="InternetLink"/>
                  <w:rFonts w:ascii="Times New Roman;serif" w:hAnsi="Times New Roman;serif"/>
                  <w:b w:val="false"/>
                  <w:color w:val="000080"/>
                  <w:sz w:val="20"/>
                  <w:u w:val="single"/>
                </w:rPr>
                <w:t>, 2026 and 2025</w:t>
              </w:r>
            </w:hyperlink>
          </w:p>
        </w:tc>
        <w:tc>
          <w:tcPr>
            <w:tcW w:w="150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ef0c095e0646bf8c936026b24fb151_31">
              <w:r>
                <w:rPr>
                  <w:rStyle w:val="InternetLink"/>
                  <w:rFonts w:ascii="Times New Roman;serif" w:hAnsi="Times New Roman;serif"/>
                  <w:b w:val="false"/>
                  <w:strike w:val="false"/>
                  <w:dstrike w:val="false"/>
                  <w:color w:val="000000"/>
                  <w:sz w:val="20"/>
                  <w:u w:val="none"/>
                  <w:effect w:val="none"/>
                </w:rPr>
                <w:t>7</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ef0c095e0646bf8c936026b24fb151_34">
              <w:r>
                <w:rPr>
                  <w:rStyle w:val="InternetLink"/>
                  <w:rFonts w:ascii="Times New Roman;serif" w:hAnsi="Times New Roman;serif"/>
                  <w:b w:val="false"/>
                  <w:color w:val="0000FF"/>
                  <w:sz w:val="20"/>
                  <w:u w:val="single"/>
                </w:rPr>
                <w:t>Notes to Condensed Consolidated Financial Statements</w:t>
              </w:r>
            </w:hyperlink>
          </w:p>
        </w:tc>
        <w:tc>
          <w:tcPr>
            <w:tcW w:w="150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ef0c095e0646bf8c936026b24fb151_34">
              <w:r>
                <w:rPr>
                  <w:rStyle w:val="InternetLink"/>
                  <w:rFonts w:ascii="Times New Roman;serif" w:hAnsi="Times New Roman;serif"/>
                  <w:b w:val="false"/>
                  <w:strike w:val="false"/>
                  <w:dstrike w:val="false"/>
                  <w:color w:val="000000"/>
                  <w:sz w:val="20"/>
                  <w:u w:val="none"/>
                  <w:effect w:val="none"/>
                </w:rPr>
                <w:t>8</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ef0c095e0646bf8c936026b24fb151_88">
              <w:r>
                <w:rPr>
                  <w:rStyle w:val="InternetLink"/>
                  <w:rFonts w:ascii="Times New Roman;serif" w:hAnsi="Times New Roman;serif"/>
                  <w:b w:val="false"/>
                  <w:strike w:val="false"/>
                  <w:dstrike w:val="false"/>
                  <w:color w:val="000000"/>
                  <w:sz w:val="20"/>
                  <w:u w:val="none"/>
                  <w:effect w:val="none"/>
                </w:rPr>
                <w:t>Item 2.</w:t>
              </w:r>
            </w:hyperlink>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ef0c095e0646bf8c936026b24fb151_8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50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ef0c095e0646bf8c936026b24fb151_88">
              <w:r>
                <w:rPr>
                  <w:rStyle w:val="InternetLink"/>
                  <w:rFonts w:ascii="Times New Roman;serif" w:hAnsi="Times New Roman;serif"/>
                  <w:b w:val="false"/>
                  <w:strike w:val="false"/>
                  <w:dstrike w:val="false"/>
                  <w:color w:val="000000"/>
                  <w:sz w:val="20"/>
                  <w:u w:val="none"/>
                  <w:effect w:val="none"/>
                </w:rPr>
                <w:t>18</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ef0c095e0646bf8c936026b24fb151_148">
              <w:r>
                <w:rPr>
                  <w:rStyle w:val="InternetLink"/>
                  <w:rFonts w:ascii="Times New Roman;serif" w:hAnsi="Times New Roman;serif"/>
                  <w:b w:val="false"/>
                  <w:strike w:val="false"/>
                  <w:dstrike w:val="false"/>
                  <w:color w:val="000000"/>
                  <w:sz w:val="20"/>
                  <w:u w:val="none"/>
                  <w:effect w:val="none"/>
                </w:rPr>
                <w:t>Item 3.</w:t>
              </w:r>
            </w:hyperlink>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ef0c095e0646bf8c936026b24fb151_148">
              <w:r>
                <w:rPr>
                  <w:rStyle w:val="InternetLink"/>
                  <w:rFonts w:ascii="Times New Roman;serif" w:hAnsi="Times New Roman;serif"/>
                  <w:b w:val="false"/>
                  <w:color w:val="0000FF"/>
                  <w:sz w:val="20"/>
                  <w:u w:val="single"/>
                </w:rPr>
                <w:t>Quantitative and Qualitative Disclosures About Market Risk</w:t>
              </w:r>
            </w:hyperlink>
          </w:p>
        </w:tc>
        <w:tc>
          <w:tcPr>
            <w:tcW w:w="150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ef0c095e0646bf8c936026b24fb151_148">
              <w:r>
                <w:rPr>
                  <w:rStyle w:val="InternetLink"/>
                  <w:rFonts w:ascii="Times New Roman;serif" w:hAnsi="Times New Roman;serif"/>
                  <w:b w:val="false"/>
                  <w:strike w:val="false"/>
                  <w:dstrike w:val="false"/>
                  <w:color w:val="000000"/>
                  <w:sz w:val="20"/>
                  <w:u w:val="none"/>
                  <w:effect w:val="none"/>
                </w:rPr>
                <w:t>39</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ef0c095e0646bf8c936026b24fb151_151">
              <w:r>
                <w:rPr>
                  <w:rStyle w:val="InternetLink"/>
                  <w:rFonts w:ascii="Times New Roman;serif" w:hAnsi="Times New Roman;serif"/>
                  <w:b w:val="false"/>
                  <w:strike w:val="false"/>
                  <w:dstrike w:val="false"/>
                  <w:color w:val="000000"/>
                  <w:sz w:val="20"/>
                  <w:u w:val="none"/>
                  <w:effect w:val="none"/>
                </w:rPr>
                <w:t>Item 4.</w:t>
              </w:r>
            </w:hyperlink>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ef0c095e0646bf8c936026b24fb151_151">
              <w:r>
                <w:rPr>
                  <w:rStyle w:val="InternetLink"/>
                  <w:rFonts w:ascii="Times New Roman;serif" w:hAnsi="Times New Roman;serif"/>
                  <w:b w:val="false"/>
                  <w:color w:val="0000FF"/>
                  <w:sz w:val="20"/>
                  <w:u w:val="single"/>
                </w:rPr>
                <w:t>Controls and Procedures</w:t>
              </w:r>
            </w:hyperlink>
          </w:p>
        </w:tc>
        <w:tc>
          <w:tcPr>
            <w:tcW w:w="150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ef0c095e0646bf8c936026b24fb151_151">
              <w:r>
                <w:rPr>
                  <w:rStyle w:val="InternetLink"/>
                  <w:rFonts w:ascii="Times New Roman;serif" w:hAnsi="Times New Roman;serif"/>
                  <w:b w:val="false"/>
                  <w:strike w:val="false"/>
                  <w:dstrike w:val="false"/>
                  <w:color w:val="000000"/>
                  <w:sz w:val="20"/>
                  <w:u w:val="none"/>
                  <w:effect w:val="none"/>
                </w:rPr>
                <w:t>39</w:t>
              </w:r>
            </w:hyperlink>
          </w:p>
        </w:tc>
      </w:tr>
      <w:tr>
        <w:trPr/>
        <w:tc>
          <w:tcPr>
            <w:tcW w:w="8702"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2ef0c095e0646bf8c936026b24fb151_154">
              <w:r>
                <w:rPr>
                  <w:rStyle w:val="InternetLink"/>
                  <w:rFonts w:ascii="Times New Roman;serif" w:hAnsi="Times New Roman;serif"/>
                  <w:b/>
                  <w:color w:val="0000FF"/>
                  <w:sz w:val="20"/>
                  <w:u w:val="single"/>
                </w:rPr>
                <w:t>PART II—OTHER INFORMATION</w:t>
              </w:r>
            </w:hyperlink>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ef0c095e0646bf8c936026b24fb151_157">
              <w:r>
                <w:rPr>
                  <w:rStyle w:val="InternetLink"/>
                  <w:rFonts w:ascii="Times New Roman;serif" w:hAnsi="Times New Roman;serif"/>
                  <w:b w:val="false"/>
                  <w:strike w:val="false"/>
                  <w:dstrike w:val="false"/>
                  <w:color w:val="000000"/>
                  <w:sz w:val="20"/>
                  <w:u w:val="none"/>
                  <w:effect w:val="none"/>
                </w:rPr>
                <w:t>Item 1.</w:t>
              </w:r>
            </w:hyperlink>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ef0c095e0646bf8c936026b24fb151_157">
              <w:r>
                <w:rPr>
                  <w:rStyle w:val="InternetLink"/>
                  <w:rFonts w:ascii="Times New Roman;serif" w:hAnsi="Times New Roman;serif"/>
                  <w:b w:val="false"/>
                  <w:color w:val="0000FF"/>
                  <w:sz w:val="20"/>
                  <w:u w:val="single"/>
                </w:rPr>
                <w:t>Legal Proceedings</w:t>
              </w:r>
            </w:hyperlink>
          </w:p>
        </w:tc>
        <w:tc>
          <w:tcPr>
            <w:tcW w:w="150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ef0c095e0646bf8c936026b24fb151_157">
              <w:r>
                <w:rPr>
                  <w:rStyle w:val="InternetLink"/>
                  <w:rFonts w:ascii="Times New Roman;serif" w:hAnsi="Times New Roman;serif"/>
                  <w:b w:val="false"/>
                  <w:strike w:val="false"/>
                  <w:dstrike w:val="false"/>
                  <w:color w:val="000000"/>
                  <w:sz w:val="20"/>
                  <w:u w:val="none"/>
                  <w:effect w:val="none"/>
                </w:rPr>
                <w:t>41</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ef0c095e0646bf8c936026b24fb151_160">
              <w:r>
                <w:rPr>
                  <w:rStyle w:val="InternetLink"/>
                  <w:rFonts w:ascii="Times New Roman;serif" w:hAnsi="Times New Roman;serif"/>
                  <w:b w:val="false"/>
                  <w:strike w:val="false"/>
                  <w:dstrike w:val="false"/>
                  <w:color w:val="000000"/>
                  <w:sz w:val="20"/>
                  <w:u w:val="none"/>
                  <w:effect w:val="none"/>
                </w:rPr>
                <w:t>Item 1A.</w:t>
              </w:r>
            </w:hyperlink>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ef0c095e0646bf8c936026b24fb151_160">
              <w:r>
                <w:rPr>
                  <w:rStyle w:val="InternetLink"/>
                  <w:rFonts w:ascii="Times New Roman;serif" w:hAnsi="Times New Roman;serif"/>
                  <w:b w:val="false"/>
                  <w:color w:val="0000FF"/>
                  <w:sz w:val="20"/>
                  <w:u w:val="single"/>
                </w:rPr>
                <w:t>Risk Factors</w:t>
              </w:r>
            </w:hyperlink>
          </w:p>
        </w:tc>
        <w:tc>
          <w:tcPr>
            <w:tcW w:w="150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ef0c095e0646bf8c936026b24fb151_160">
              <w:r>
                <w:rPr>
                  <w:rStyle w:val="InternetLink"/>
                  <w:rFonts w:ascii="Times New Roman;serif" w:hAnsi="Times New Roman;serif"/>
                  <w:b w:val="false"/>
                  <w:strike w:val="false"/>
                  <w:dstrike w:val="false"/>
                  <w:color w:val="000000"/>
                  <w:sz w:val="20"/>
                  <w:u w:val="none"/>
                  <w:effect w:val="none"/>
                </w:rPr>
                <w:t>41</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ef0c095e0646bf8c936026b24fb151_163">
              <w:r>
                <w:rPr>
                  <w:rStyle w:val="InternetLink"/>
                  <w:rFonts w:ascii="Times New Roman;serif" w:hAnsi="Times New Roman;serif"/>
                  <w:b w:val="false"/>
                  <w:strike w:val="false"/>
                  <w:dstrike w:val="false"/>
                  <w:color w:val="000000"/>
                  <w:sz w:val="20"/>
                  <w:u w:val="none"/>
                  <w:effect w:val="none"/>
                </w:rPr>
                <w:t>Item 2.</w:t>
              </w:r>
            </w:hyperlink>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ef0c095e0646bf8c936026b24fb151_163">
              <w:r>
                <w:rPr>
                  <w:rStyle w:val="InternetLink"/>
                  <w:rFonts w:ascii="Times New Roman;serif" w:hAnsi="Times New Roman;serif"/>
                  <w:b w:val="false"/>
                  <w:color w:val="0000FF"/>
                  <w:sz w:val="20"/>
                  <w:u w:val="single"/>
                </w:rPr>
                <w:t>Unregistered Sales of Equity Securities and Use of Proceeds</w:t>
              </w:r>
            </w:hyperlink>
          </w:p>
        </w:tc>
        <w:tc>
          <w:tcPr>
            <w:tcW w:w="150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ef0c095e0646bf8c936026b24fb151_163">
              <w:r>
                <w:rPr>
                  <w:rStyle w:val="InternetLink"/>
                  <w:rFonts w:ascii="Times New Roman;serif" w:hAnsi="Times New Roman;serif"/>
                  <w:b w:val="false"/>
                  <w:strike w:val="false"/>
                  <w:dstrike w:val="false"/>
                  <w:color w:val="000000"/>
                  <w:sz w:val="20"/>
                  <w:u w:val="none"/>
                  <w:effect w:val="none"/>
                </w:rPr>
                <w:t>41</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ef0c095e0646bf8c936026b24fb151_169">
              <w:r>
                <w:rPr>
                  <w:rStyle w:val="InternetLink"/>
                  <w:rFonts w:ascii="Times New Roman;serif" w:hAnsi="Times New Roman;serif"/>
                  <w:b w:val="false"/>
                  <w:strike w:val="false"/>
                  <w:dstrike w:val="false"/>
                  <w:color w:val="000000"/>
                  <w:sz w:val="20"/>
                  <w:u w:val="none"/>
                  <w:effect w:val="none"/>
                </w:rPr>
                <w:t>Item 3.</w:t>
              </w:r>
            </w:hyperlink>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ef0c095e0646bf8c936026b24fb151_169">
              <w:r>
                <w:rPr>
                  <w:rStyle w:val="InternetLink"/>
                  <w:rFonts w:ascii="Times New Roman;serif" w:hAnsi="Times New Roman;serif"/>
                  <w:b w:val="false"/>
                  <w:color w:val="0000FF"/>
                  <w:sz w:val="20"/>
                  <w:u w:val="single"/>
                </w:rPr>
                <w:t>Defaults Upon Senior Securities</w:t>
              </w:r>
            </w:hyperlink>
          </w:p>
        </w:tc>
        <w:tc>
          <w:tcPr>
            <w:tcW w:w="150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ef0c095e0646bf8c936026b24fb151_169">
              <w:r>
                <w:rPr>
                  <w:rStyle w:val="InternetLink"/>
                  <w:rFonts w:ascii="Times New Roman;serif" w:hAnsi="Times New Roman;serif"/>
                  <w:b w:val="false"/>
                  <w:strike w:val="false"/>
                  <w:dstrike w:val="false"/>
                  <w:color w:val="000000"/>
                  <w:sz w:val="20"/>
                  <w:u w:val="none"/>
                  <w:effect w:val="none"/>
                </w:rPr>
                <w:t>42</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ef0c095e0646bf8c936026b24fb151_172">
              <w:r>
                <w:rPr>
                  <w:rStyle w:val="InternetLink"/>
                  <w:rFonts w:ascii="Times New Roman;serif" w:hAnsi="Times New Roman;serif"/>
                  <w:b w:val="false"/>
                  <w:strike w:val="false"/>
                  <w:dstrike w:val="false"/>
                  <w:color w:val="000000"/>
                  <w:sz w:val="20"/>
                  <w:u w:val="none"/>
                  <w:effect w:val="none"/>
                </w:rPr>
                <w:t>Item 4.</w:t>
              </w:r>
            </w:hyperlink>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ef0c095e0646bf8c936026b24fb151_172">
              <w:r>
                <w:rPr>
                  <w:rStyle w:val="InternetLink"/>
                  <w:rFonts w:ascii="Times New Roman;serif" w:hAnsi="Times New Roman;serif"/>
                  <w:b w:val="false"/>
                  <w:color w:val="0000FF"/>
                  <w:sz w:val="20"/>
                  <w:u w:val="single"/>
                </w:rPr>
                <w:t>Mine Safety Disclosures</w:t>
              </w:r>
            </w:hyperlink>
          </w:p>
        </w:tc>
        <w:tc>
          <w:tcPr>
            <w:tcW w:w="150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ef0c095e0646bf8c936026b24fb151_172">
              <w:r>
                <w:rPr>
                  <w:rStyle w:val="InternetLink"/>
                  <w:rFonts w:ascii="Times New Roman;serif" w:hAnsi="Times New Roman;serif"/>
                  <w:b w:val="false"/>
                  <w:strike w:val="false"/>
                  <w:dstrike w:val="false"/>
                  <w:color w:val="000000"/>
                  <w:sz w:val="20"/>
                  <w:u w:val="none"/>
                  <w:effect w:val="none"/>
                </w:rPr>
                <w:t>42</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ef0c095e0646bf8c936026b24fb151_175">
              <w:r>
                <w:rPr>
                  <w:rStyle w:val="InternetLink"/>
                  <w:rFonts w:ascii="Times New Roman;serif" w:hAnsi="Times New Roman;serif"/>
                  <w:b w:val="false"/>
                  <w:strike w:val="false"/>
                  <w:dstrike w:val="false"/>
                  <w:color w:val="000000"/>
                  <w:sz w:val="20"/>
                  <w:u w:val="none"/>
                  <w:effect w:val="none"/>
                </w:rPr>
                <w:t>Item 5.</w:t>
              </w:r>
            </w:hyperlink>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ef0c095e0646bf8c936026b24fb151_175">
              <w:r>
                <w:rPr>
                  <w:rStyle w:val="InternetLink"/>
                  <w:rFonts w:ascii="Times New Roman;serif" w:hAnsi="Times New Roman;serif"/>
                  <w:b w:val="false"/>
                  <w:color w:val="0000FF"/>
                  <w:sz w:val="20"/>
                  <w:u w:val="single"/>
                </w:rPr>
                <w:t>Other Information</w:t>
              </w:r>
            </w:hyperlink>
          </w:p>
        </w:tc>
        <w:tc>
          <w:tcPr>
            <w:tcW w:w="150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ef0c095e0646bf8c936026b24fb151_175">
              <w:r>
                <w:rPr>
                  <w:rStyle w:val="InternetLink"/>
                  <w:rFonts w:ascii="Times New Roman;serif" w:hAnsi="Times New Roman;serif"/>
                  <w:b w:val="false"/>
                  <w:strike w:val="false"/>
                  <w:dstrike w:val="false"/>
                  <w:color w:val="000000"/>
                  <w:sz w:val="20"/>
                  <w:u w:val="none"/>
                  <w:effect w:val="none"/>
                </w:rPr>
                <w:t>42</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ef0c095e0646bf8c936026b24fb151_178">
              <w:r>
                <w:rPr>
                  <w:rStyle w:val="InternetLink"/>
                  <w:rFonts w:ascii="Times New Roman;serif" w:hAnsi="Times New Roman;serif"/>
                  <w:b w:val="false"/>
                  <w:strike w:val="false"/>
                  <w:dstrike w:val="false"/>
                  <w:color w:val="000000"/>
                  <w:sz w:val="20"/>
                  <w:u w:val="none"/>
                  <w:effect w:val="none"/>
                </w:rPr>
                <w:t>Item 6.</w:t>
              </w:r>
            </w:hyperlink>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ef0c095e0646bf8c936026b24fb151_178">
              <w:r>
                <w:rPr>
                  <w:rStyle w:val="InternetLink"/>
                  <w:rFonts w:ascii="Times New Roman;serif" w:hAnsi="Times New Roman;serif"/>
                  <w:b w:val="false"/>
                  <w:color w:val="0000FF"/>
                  <w:sz w:val="20"/>
                  <w:u w:val="single"/>
                </w:rPr>
                <w:t>Exhibits</w:t>
              </w:r>
            </w:hyperlink>
          </w:p>
        </w:tc>
        <w:tc>
          <w:tcPr>
            <w:tcW w:w="150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ef0c095e0646bf8c936026b24fb151_178">
              <w:r>
                <w:rPr>
                  <w:rStyle w:val="InternetLink"/>
                  <w:rFonts w:ascii="Times New Roman;serif" w:hAnsi="Times New Roman;serif"/>
                  <w:b w:val="false"/>
                  <w:strike w:val="false"/>
                  <w:dstrike w:val="false"/>
                  <w:color w:val="000000"/>
                  <w:sz w:val="20"/>
                  <w:u w:val="none"/>
                  <w:effect w:val="none"/>
                </w:rPr>
                <w:t>43</w:t>
              </w:r>
            </w:hyperlink>
          </w:p>
        </w:tc>
      </w:tr>
      <w:tr>
        <w:trPr/>
        <w:tc>
          <w:tcPr>
            <w:tcW w:w="8702"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2ef0c095e0646bf8c936026b24fb151_181">
              <w:r>
                <w:rPr>
                  <w:rStyle w:val="InternetLink"/>
                  <w:rFonts w:ascii="Times New Roman;serif" w:hAnsi="Times New Roman;serif"/>
                  <w:b/>
                  <w:color w:val="0000FF"/>
                  <w:sz w:val="20"/>
                  <w:u w:val="single"/>
                </w:rPr>
                <w:t>SIGNATURES</w:t>
              </w:r>
            </w:hyperlink>
          </w:p>
        </w:tc>
        <w:tc>
          <w:tcPr>
            <w:tcW w:w="150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ef0c095e0646bf8c936026b24fb151_181">
              <w:r>
                <w:rPr>
                  <w:rStyle w:val="InternetLink"/>
                  <w:rFonts w:ascii="Times New Roman;serif" w:hAnsi="Times New Roman;serif"/>
                  <w:b w:val="false"/>
                  <w:strike w:val="false"/>
                  <w:dstrike w:val="false"/>
                  <w:color w:val="000000"/>
                  <w:sz w:val="20"/>
                  <w:u w:val="none"/>
                  <w:effect w:val="none"/>
                </w:rPr>
                <w:t>44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I—FINANCIAL INFORMATION</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FTI Consulting, Inc. and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tbl>
      <w:tblPr>
        <w:tblW w:w="2625" w:type="dxa"/>
        <w:jc w:val="left"/>
        <w:tblInd w:w="0" w:type="dxa"/>
        <w:tblLayout w:type="fixed"/>
        <w:tblCellMar>
          <w:top w:w="28" w:type="dxa"/>
          <w:left w:w="28" w:type="dxa"/>
          <w:bottom w:w="28" w:type="dxa"/>
          <w:right w:w="28" w:type="dxa"/>
        </w:tblCellMar>
      </w:tblPr>
      <w:tblGrid>
        <w:gridCol w:w="255"/>
        <w:gridCol w:w="224"/>
        <w:gridCol w:w="226"/>
        <w:gridCol w:w="562"/>
        <w:gridCol w:w="562"/>
        <w:gridCol w:w="796"/>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w:t>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634" w:type="dxa"/>
        <w:jc w:val="left"/>
        <w:tblInd w:w="0" w:type="dxa"/>
        <w:tblLayout w:type="fixed"/>
        <w:tblCellMar>
          <w:top w:w="28" w:type="dxa"/>
          <w:left w:w="28" w:type="dxa"/>
          <w:bottom w:w="28" w:type="dxa"/>
          <w:right w:w="28" w:type="dxa"/>
        </w:tblCellMar>
      </w:tblPr>
      <w:tblGrid>
        <w:gridCol w:w="2047"/>
        <w:gridCol w:w="1800"/>
        <w:gridCol w:w="1823"/>
        <w:gridCol w:w="211"/>
        <w:gridCol w:w="976"/>
        <w:gridCol w:w="109"/>
        <w:gridCol w:w="109"/>
        <w:gridCol w:w="109"/>
        <w:gridCol w:w="109"/>
        <w:gridCol w:w="211"/>
        <w:gridCol w:w="976"/>
        <w:gridCol w:w="154"/>
      </w:tblGrid>
      <w:tr>
        <w:trPr/>
        <w:tc>
          <w:tcPr>
            <w:tcW w:w="2047"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r>
          </w:p>
        </w:tc>
      </w:tr>
      <w:tr>
        <w:trPr/>
        <w:tc>
          <w:tcPr>
            <w:tcW w:w="567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Accounts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notes receivable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1,517,627 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1,242,777 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3,534,725 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3,490,528 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other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712,335 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Billings in excess of services provided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975,189 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1,756,797 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10)</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Preferred stock, $0.01 par value; shares authorized — 5,000; none </w:t>
            </w:r>
          </w:p>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outstanding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shares authorized — 75,000; shares</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issued and outstanding 27,711 (2026) and 30,864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1,862,672 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1,733,731 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3,534,725 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3,490,528 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FTI Consulting, Inc. and Subsidiaries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583"/>
        <w:gridCol w:w="1348"/>
        <w:gridCol w:w="1363"/>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5"/>
      </w:tblGrid>
      <w:tr>
        <w:trPr/>
        <w:tc>
          <w:tcPr>
            <w:tcW w:w="1583"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1,841,944 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 of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386,539 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1,663,973 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177,971 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before income tax provision</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172,520 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tax provision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133,522 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Earnings per common share — basic</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Earnings per common share — 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 net of tax</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translation adjustments, net of tax </w:t>
            </w:r>
          </w:p>
          <w:p>
            <w:pPr>
              <w:pStyle w:val="TableContents"/>
              <w:bidi w:val="0"/>
              <w:spacing w:lineRule="auto" w:line="288" w:before="0" w:after="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expense of $0</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other comprehensive income (loss), net of tax</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48,347 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181,869 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FTI Consulting, Inc. and Subsidiaries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048"/>
        <w:gridCol w:w="635"/>
        <w:gridCol w:w="637"/>
        <w:gridCol w:w="323"/>
        <w:gridCol w:w="323"/>
        <w:gridCol w:w="211"/>
        <w:gridCol w:w="109"/>
        <w:gridCol w:w="109"/>
        <w:gridCol w:w="109"/>
        <w:gridCol w:w="202"/>
        <w:gridCol w:w="435"/>
        <w:gridCol w:w="114"/>
        <w:gridCol w:w="109"/>
        <w:gridCol w:w="109"/>
        <w:gridCol w:w="109"/>
        <w:gridCol w:w="252"/>
        <w:gridCol w:w="543"/>
        <w:gridCol w:w="141"/>
        <w:gridCol w:w="109"/>
        <w:gridCol w:w="109"/>
        <w:gridCol w:w="109"/>
        <w:gridCol w:w="196"/>
        <w:gridCol w:w="871"/>
        <w:gridCol w:w="109"/>
        <w:gridCol w:w="109"/>
        <w:gridCol w:w="109"/>
        <w:gridCol w:w="109"/>
        <w:gridCol w:w="242"/>
        <w:gridCol w:w="928"/>
        <w:gridCol w:w="136"/>
        <w:gridCol w:w="109"/>
        <w:gridCol w:w="109"/>
        <w:gridCol w:w="109"/>
        <w:gridCol w:w="196"/>
        <w:gridCol w:w="871"/>
        <w:gridCol w:w="157"/>
      </w:tblGrid>
      <w:tr>
        <w:trPr/>
        <w:tc>
          <w:tcPr>
            <w:tcW w:w="104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32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30,864 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1,862,672 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(129,604)</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1,733,731 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57,631 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57,631 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Cumulative translation adjustment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(10,053)</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in connection with:</w:t>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Restricted share grants, less net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settled shares of 36</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(2,367)</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and retirement of common stock, including excise tax</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(128,194)</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(128,202)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10,608 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negative additional paid-in capital</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119,248 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2026</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30,145 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1,801,055 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(139,657)</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1,661,699 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57,810 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57,810 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Cumulative translation adjustment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in connection with:</w:t>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Restricted share grants, less net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settled shares of 14</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32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and retirement of common stock, including excise tax</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(394,727)</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(394,753)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11,443 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negative additional paid-in capital</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385,336 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2026</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27,711 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1,473,529 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(139,856)</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1,333,950 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32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32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32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32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32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32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32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32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32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32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32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046"/>
        <w:gridCol w:w="629"/>
        <w:gridCol w:w="631"/>
        <w:gridCol w:w="323"/>
        <w:gridCol w:w="323"/>
        <w:gridCol w:w="211"/>
        <w:gridCol w:w="109"/>
        <w:gridCol w:w="109"/>
        <w:gridCol w:w="109"/>
        <w:gridCol w:w="202"/>
        <w:gridCol w:w="435"/>
        <w:gridCol w:w="114"/>
        <w:gridCol w:w="109"/>
        <w:gridCol w:w="109"/>
        <w:gridCol w:w="109"/>
        <w:gridCol w:w="196"/>
        <w:gridCol w:w="646"/>
        <w:gridCol w:w="109"/>
        <w:gridCol w:w="109"/>
        <w:gridCol w:w="109"/>
        <w:gridCol w:w="109"/>
        <w:gridCol w:w="196"/>
        <w:gridCol w:w="871"/>
        <w:gridCol w:w="109"/>
        <w:gridCol w:w="109"/>
        <w:gridCol w:w="109"/>
        <w:gridCol w:w="109"/>
        <w:gridCol w:w="242"/>
        <w:gridCol w:w="928"/>
        <w:gridCol w:w="136"/>
        <w:gridCol w:w="109"/>
        <w:gridCol w:w="109"/>
        <w:gridCol w:w="109"/>
        <w:gridCol w:w="196"/>
        <w:gridCol w:w="871"/>
        <w:gridCol w:w="156"/>
      </w:tblGrid>
      <w:tr>
        <w:trPr/>
        <w:tc>
          <w:tcPr>
            <w:tcW w:w="104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3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35,913 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2,394,853 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(176,572)</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2,258,290 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61,824 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61,824 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Cumulative translation adjustment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14,574 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14,574 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in connection with:</w:t>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Restricted share grants, less net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settled shares of 64</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Purchase and retirement of common stock, including excise tax</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(187,676)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Reclassification of negative additional paid-in capital</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34,855 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(161,998)</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2,149,638 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71,698 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71,698 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Cumulative translation adjustment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33,773 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33,773 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in connection with:</w:t>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Restricted share grants, less net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settled shares of 32</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Purchase and retirement of common stock, including excise tax</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(358,240)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negative additional paid-in capital</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32,727 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2,027,779 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(128,225)</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1,899,881 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FTI Consulting, Inc. and Subsidiaries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color w:val="000000"/>
        </w:rPr>
      </w:pPr>
      <w:r>
        <w:rPr>
          <w:color w:val="000000"/>
        </w:rPr>
        <w:t> </w:t>
      </w:r>
    </w:p>
    <w:tbl>
      <w:tblPr>
        <w:tblW w:w="8979" w:type="dxa"/>
        <w:jc w:val="left"/>
        <w:tblInd w:w="0" w:type="dxa"/>
        <w:tblLayout w:type="fixed"/>
        <w:tblCellMar>
          <w:top w:w="28" w:type="dxa"/>
          <w:left w:w="28" w:type="dxa"/>
          <w:bottom w:w="28" w:type="dxa"/>
          <w:right w:w="28" w:type="dxa"/>
        </w:tblCellMar>
      </w:tblPr>
      <w:tblGrid>
        <w:gridCol w:w="2287"/>
        <w:gridCol w:w="2007"/>
        <w:gridCol w:w="2021"/>
        <w:gridCol w:w="211"/>
        <w:gridCol w:w="826"/>
        <w:gridCol w:w="109"/>
        <w:gridCol w:w="109"/>
        <w:gridCol w:w="109"/>
        <w:gridCol w:w="109"/>
        <w:gridCol w:w="211"/>
        <w:gridCol w:w="826"/>
        <w:gridCol w:w="154"/>
      </w:tblGrid>
      <w:tr>
        <w:trPr/>
        <w:tc>
          <w:tcPr>
            <w:tcW w:w="2287"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used in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notes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tax equity investment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expected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firstLine="54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effects from acquisitions: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billed and unbilled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net of repayments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Billings in excess of services provided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(409,517)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for tax equity investment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(35,228)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revolving line of credit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under revolving line of credit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term loan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debt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and retirement of common stock, including excise tax</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(536,678)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tax withholdings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(84,194)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(507,662)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660,493 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 disclosures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 and tax credits, net of refunds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and 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stock units under incentive compensation plans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Excise tax on purchase and retirement of common stock</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additions to property and equipment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FTI Consulting, Inc. and Subsidiaries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 and share amounts in tables in thousands, except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 Basis of Presentation and Significant Accounting Policies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of FTI Consulting, Inc., including its consolidated subsidiaries (collectively, the “Company,” “we,” “our” or “FTI Consulting”), presented herein, have been prepared in accordance with generally accepted accounting principles in the United States (“GAAP”) and under the rules and regulations of the Securities and Exchange Commission (“SEC”) for interim financial information. Some of the information and footnote disclosures normally included in annual financial statements have been condensed or omitted pursuant to those rules and regulations. Certain prior period amounts have been reclassified to conform to the current period presentation. In management’s opinion, the interim financial statements reflect all adjustments that are necessary for a fair presentation of the results for the interim periods presented. All adjustments made were normal recurring accruals. The fair values of all financial instruments are estimated to be equal to their carrying values as of June 30, 2026 and December 31, 2025. Results of operations for the interim periods presented herein are not necessarily indicative of results of operations for a full year. These financial statements should be read in conjunction with the consolidated financial statements and the notes thereto contained in our Annual Report on Form 10-K for the year ended December 31, 2025 filed with the SEC.</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Note 1 to the Consolidated Financial Statements included in Part II, Item 8, of our Annual Report on Form 10-K for the year ended December 31, 2025 describes the significant accounting policies and methods used in preparation of the Condensed Consolidated Financial Statements in this Quarterly Report on Form 10-Q.</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entered into a tax equity investment (“TEI”) during the three months ended June 30, 2026. The TEI is structured through limited liability companies that invest in clean energy projects that are eligible to receive energy tax credits. We elected to use the proportional amortization method (“PAM”) for the TEI. Under PAM, an investment is amortized in proportion to the allocation of tax benefits received in each period, and tax benefit amounts, net of amortization expense, are presented within “Income tax provision” on our Condensed Consolidated Statements of Comprehensive Income.</w:t>
      </w:r>
    </w:p>
    <w:p>
      <w:pPr>
        <w:pStyle w:val="TextBody"/>
        <w:bidi w:val="0"/>
        <w:spacing w:lineRule="auto" w:line="288" w:before="0" w:after="180"/>
        <w:ind w:left="0" w:right="0" w:firstLine="540"/>
        <w:jc w:val="left"/>
        <w:rPr/>
      </w:pPr>
      <w:r>
        <w:rPr>
          <w:rFonts w:ascii="Times New Roman;serif" w:hAnsi="Times New Roman;serif"/>
          <w:b w:val="false"/>
          <w:color w:val="000000"/>
          <w:sz w:val="20"/>
        </w:rPr>
        <w:t>We executed forward contracts to manage the foreign currency exposure of intercompany loans during the three and six months ended June 30, 2026. The contracts were not designated as hedges for financial reporting purposes, but rather as non-hedging derivatives in accordance with Accounting Standards Codification Topic 815,</w:t>
      </w:r>
      <w:r>
        <w:rPr>
          <w:color w:val="000000"/>
        </w:rPr>
        <w:t xml:space="preserve"> </w:t>
      </w:r>
      <w:r>
        <w:rPr>
          <w:rFonts w:ascii="Times New Roman;serif" w:hAnsi="Times New Roman;serif"/>
          <w:b w:val="false"/>
          <w:i/>
          <w:color w:val="000000"/>
          <w:sz w:val="20"/>
        </w:rPr>
        <w:t>Derivatives and Hedging</w:t>
      </w:r>
      <w:r>
        <w:rPr>
          <w:rFonts w:ascii="Times New Roman;serif" w:hAnsi="Times New Roman;serif"/>
          <w:b w:val="false"/>
          <w:color w:val="000000"/>
          <w:sz w:val="20"/>
        </w:rPr>
        <w:t xml:space="preserve">. The fair value of our outstanding derivative is included in “Accounts payable, accrued expenses and other” on the Condensed Consolidated Balance Sheets and the change in fair value of the derivatives is included in “Interest income and other” on the Condensed Consolidated Statements of Comprehensive Income. The impact of the forward contracts was not material to our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2. New Accounting Standards</w:t>
      </w:r>
    </w:p>
    <w:p>
      <w:pPr>
        <w:pStyle w:val="TextBody"/>
        <w:bidi w:val="0"/>
        <w:spacing w:lineRule="auto" w:line="288" w:before="0" w:after="180"/>
        <w:ind w:left="0" w:right="0" w:firstLine="540"/>
        <w:jc w:val="left"/>
        <w:rPr/>
      </w:pPr>
      <w:r>
        <w:rPr>
          <w:rFonts w:ascii="Times New Roman;serif" w:hAnsi="Times New Roman;serif"/>
          <w:b w:val="false"/>
          <w:color w:val="000000"/>
          <w:sz w:val="20"/>
        </w:rPr>
        <w:t>In November 2024, the Financial Accounting Standards Board (“FASB”) issued Accounting Standards Update (“ASU”) 2024-03,</w:t>
      </w:r>
      <w:r>
        <w:rPr>
          <w:color w:val="000000"/>
        </w:rPr>
        <w:t xml:space="preserve">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which requires additional, disaggregated disclosure around certain income statement expense line items. The amendments in this ASU are effective for annual periods beginning after December 15, 2026 and interim periods beginning after December 15, 2027, although early adoption is permitted. The Company is in the process of evaluating the impact of this new guidance on its consolidated financial statements.</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 - Goodwill and Other - Internal-Use Software (Subtopic 350-40): Targeted Improvements to the Accounting for Internal-Use Software</w:t>
      </w:r>
      <w:r>
        <w:rPr>
          <w:rFonts w:ascii="Times New Roman;serif" w:hAnsi="Times New Roman;serif"/>
          <w:b w:val="false"/>
          <w:color w:val="000000"/>
          <w:sz w:val="20"/>
        </w:rPr>
        <w:t>, which modernizes the accounting for internal-use software costs by increasing the operability of the recognition guidance to reflect neutrality toward different methods of software development. The amendments in this ASU are effective for annual and interim periods beginning after December 15, 2027 and can be applied prospectively, retrospectively, or with a modified transition approach. Early adoption is permitted. The Company is in the process of evaluating the impact of this new guidance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3. Earnings per Common Share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 is calculated by dividing net income by the weighted average number of common shares outstanding during the period. Diluted earnings per common share adjusts basic earnings per common share for the effects of potentially dilutive common shares. Potentially dilutive common shares include the dilutive effects of shares issuable upon exercise or vesting of outstanding awards under our equity compensation plans, including stock options and share-based awards (restricted share awards, restricted stock units and performance stock units), each using the treasury stock method.</w:t>
      </w:r>
    </w:p>
    <w:tbl>
      <w:tblPr>
        <w:tblW w:w="10205" w:type="dxa"/>
        <w:jc w:val="left"/>
        <w:tblInd w:w="0" w:type="dxa"/>
        <w:tblLayout w:type="fixed"/>
        <w:tblCellMar>
          <w:top w:w="28" w:type="dxa"/>
          <w:left w:w="28" w:type="dxa"/>
          <w:bottom w:w="28" w:type="dxa"/>
          <w:right w:w="28" w:type="dxa"/>
        </w:tblCellMar>
      </w:tblPr>
      <w:tblGrid>
        <w:gridCol w:w="1762"/>
        <w:gridCol w:w="1515"/>
        <w:gridCol w:w="1526"/>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6"/>
      </w:tblGrid>
      <w:tr>
        <w:trPr/>
        <w:tc>
          <w:tcPr>
            <w:tcW w:w="1762"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0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80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 — basic and diluted</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outstanding — basic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share-based awards and stock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80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outstanding — diluted</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common share — basic</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common share — 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Antidilutive share-based awards</w:t>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4. Revenues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generate the majority of our revenues by providing consulting services to our clients. Revenues are recognized when we satisfy a performance obligation by transferring services promised in a contract to a customer and in an amount that reflects the consideration that we expect to receive in exchange for those services. Performance obligations in our contracts represent distinct or separate services that we provide to our customers. If, at the outset of an arrangement, we determine that a contract with enforceable rights and obligations does not exist, revenues are deferred until all criteria for an enforceable contract are met.</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Revenues recognized during the current period may include revenues from performance obligations satisfied or partially satisfied in prior periods. This primarily occurs when the estimated transaction price has changed based on our current probability assessment over whether the agreed-upon outcome for our performance-based and contingent arrangements will be achieved. The aggregate amount of revenues recognized related to a change in the transaction price in the current period, which related to performance obligations satisfied or partially satisfied in a prior period, was $15.1 million and $14.8 million for the three and six months ended June 30, 2026, respectively, and $13.5 million and $15.9 million for the three and six months ended June 30, 2025, respectively.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Unfulfilled performance obligations primarily consist of fees not yet recognized on certain fixed-fee, performance-based and contingent arrangements. As of June 30, 2026 and December 31, 2025, the aggregate amount of the remaining contract transaction price allocated to unfulfilled performance obligations was $16.1 million and $27.3 million, respectively. We expect to recognize the majority of the related revenues over the next 12 months. We elected to utilize the optional exemption to exclude from this disclosure fixed-fee and performance-based and contingent arrangements with an original expected duration of one year or less and to exclude our time and expense arrangements for which revenues are recognized using the right-to-invoice practical expedient.</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Contract assets are defined as assets for which we have recorded revenues but are not yet entitled to receive our fees because certain events, such as completion of the measurement period or client approval, must occur. The contract asset balance was immaterial </w:t>
      </w:r>
      <w:r>
        <w:rPr>
          <w:rFonts w:ascii="Times New Roman;serif" w:hAnsi="Times New Roman;serif"/>
          <w:b w:val="false"/>
          <w:color w:val="000000"/>
          <w:sz w:val="20"/>
          <w:shd w:fill="FFFFFF" w:val="clear"/>
        </w:rPr>
        <w:t>as</w:t>
      </w:r>
      <w:r>
        <w:rPr>
          <w:color w:val="000000"/>
        </w:rPr>
        <w:t xml:space="preserve"> </w:t>
      </w:r>
      <w:r>
        <w:rPr>
          <w:rFonts w:ascii="Times New Roman;serif" w:hAnsi="Times New Roman;serif"/>
          <w:b w:val="false"/>
          <w:color w:val="000000"/>
          <w:sz w:val="20"/>
        </w:rPr>
        <w:t>of June 30, 2026 and December 31, 2025.</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Contract liabilities are defined as liabilities incurred when we have received consideration but have not yet performed the agreed-upon services. This may occur when clients pay fees before work begins. The contract liability balance was immaterial as of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5. Accounts Receivable and Allowance for Expected Credit Losses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“Accounts receivable, net” as presented on the Condensed Consolidated Balance Sheets:</w:t>
      </w:r>
    </w:p>
    <w:tbl>
      <w:tblPr>
        <w:tblW w:w="6242" w:type="dxa"/>
        <w:jc w:val="left"/>
        <w:tblInd w:w="0" w:type="dxa"/>
        <w:tblLayout w:type="fixed"/>
        <w:tblCellMar>
          <w:top w:w="28" w:type="dxa"/>
          <w:left w:w="28" w:type="dxa"/>
          <w:bottom w:w="28" w:type="dxa"/>
          <w:right w:w="28" w:type="dxa"/>
        </w:tblCellMar>
      </w:tblPr>
      <w:tblGrid>
        <w:gridCol w:w="1114"/>
        <w:gridCol w:w="979"/>
        <w:gridCol w:w="981"/>
        <w:gridCol w:w="211"/>
        <w:gridCol w:w="976"/>
        <w:gridCol w:w="109"/>
        <w:gridCol w:w="109"/>
        <w:gridCol w:w="109"/>
        <w:gridCol w:w="109"/>
        <w:gridCol w:w="243"/>
        <w:gridCol w:w="1125"/>
        <w:gridCol w:w="177"/>
      </w:tblGrid>
      <w:tr>
        <w:trPr/>
        <w:tc>
          <w:tcPr>
            <w:tcW w:w="111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Billed receivables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764,217 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378,115 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expected credit losses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(104,654)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Accounts receivable,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1,158,395 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1,037,678 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total provision for expected credit losses and write-offs:</w:t>
      </w:r>
    </w:p>
    <w:tbl>
      <w:tblPr>
        <w:tblW w:w="8028" w:type="dxa"/>
        <w:jc w:val="left"/>
        <w:tblInd w:w="0" w:type="dxa"/>
        <w:tblLayout w:type="fixed"/>
        <w:tblCellMar>
          <w:top w:w="28" w:type="dxa"/>
          <w:left w:w="28" w:type="dxa"/>
          <w:bottom w:w="28" w:type="dxa"/>
          <w:right w:w="28" w:type="dxa"/>
        </w:tblCellMar>
      </w:tblPr>
      <w:tblGrid>
        <w:gridCol w:w="1080"/>
        <w:gridCol w:w="951"/>
        <w:gridCol w:w="954"/>
        <w:gridCol w:w="217"/>
        <w:gridCol w:w="634"/>
        <w:gridCol w:w="112"/>
        <w:gridCol w:w="112"/>
        <w:gridCol w:w="112"/>
        <w:gridCol w:w="112"/>
        <w:gridCol w:w="217"/>
        <w:gridCol w:w="634"/>
        <w:gridCol w:w="112"/>
        <w:gridCol w:w="109"/>
        <w:gridCol w:w="109"/>
        <w:gridCol w:w="109"/>
        <w:gridCol w:w="211"/>
        <w:gridCol w:w="721"/>
        <w:gridCol w:w="109"/>
        <w:gridCol w:w="109"/>
        <w:gridCol w:w="109"/>
        <w:gridCol w:w="109"/>
        <w:gridCol w:w="211"/>
        <w:gridCol w:w="721"/>
        <w:gridCol w:w="154"/>
      </w:tblGrid>
      <w:tr>
        <w:trPr/>
        <w:tc>
          <w:tcPr>
            <w:tcW w:w="108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expected credit losses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provision for expected credit losses includes recoveries, direct write-offs and charges to other accounts. Billed accounts receivables are written off when the potential for recovery is considered remote.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6. Special Charges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were no special charges recorded during the three and six months ended June 30, 2026.</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we recorded special charges of $25.3 million related to targeted headcount reductions in each segment and region where we realigned our workforce with current business demand for our consulting services.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special charges by segment:</w:t>
      </w:r>
    </w:p>
    <w:tbl>
      <w:tblPr>
        <w:tblW w:w="7198" w:type="dxa"/>
        <w:jc w:val="left"/>
        <w:tblInd w:w="0" w:type="dxa"/>
        <w:tblLayout w:type="fixed"/>
        <w:tblCellMar>
          <w:top w:w="28" w:type="dxa"/>
          <w:left w:w="28" w:type="dxa"/>
          <w:bottom w:w="28" w:type="dxa"/>
          <w:right w:w="28" w:type="dxa"/>
        </w:tblCellMar>
      </w:tblPr>
      <w:tblGrid>
        <w:gridCol w:w="1335"/>
        <w:gridCol w:w="1174"/>
        <w:gridCol w:w="1180"/>
        <w:gridCol w:w="109"/>
        <w:gridCol w:w="109"/>
        <w:gridCol w:w="1411"/>
        <w:gridCol w:w="109"/>
        <w:gridCol w:w="211"/>
        <w:gridCol w:w="721"/>
        <w:gridCol w:w="109"/>
        <w:gridCol w:w="109"/>
        <w:gridCol w:w="621"/>
      </w:tblGrid>
      <w:tr>
        <w:trPr/>
        <w:tc>
          <w:tcPr>
            <w:tcW w:w="1335"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 2025</w:t>
            </w:r>
          </w:p>
        </w:tc>
        <w:tc>
          <w:tcPr>
            <w:tcW w:w="1880" w:type="dxa"/>
            <w:gridSpan w:val="6"/>
            <w:tcBorders/>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Finance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Forensic and Litigation Consulting (“FLC”)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Economic Consulting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Technology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Communications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ind w:left="0" w:right="0" w:firstLine="216"/>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special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Unallocated Corporate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ind w:left="0" w:right="0" w:firstLine="490"/>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7. Goodwill and Intangible Assets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the changes in the carrying amount of goodwill by reportable segment:</w:t>
      </w:r>
    </w:p>
    <w:tbl>
      <w:tblPr>
        <w:tblW w:w="10205" w:type="dxa"/>
        <w:jc w:val="left"/>
        <w:tblInd w:w="0" w:type="dxa"/>
        <w:tblLayout w:type="fixed"/>
        <w:tblCellMar>
          <w:top w:w="28" w:type="dxa"/>
          <w:left w:w="28" w:type="dxa"/>
          <w:bottom w:w="28" w:type="dxa"/>
          <w:right w:w="28" w:type="dxa"/>
        </w:tblCellMar>
      </w:tblPr>
      <w:tblGrid>
        <w:gridCol w:w="630"/>
        <w:gridCol w:w="383"/>
        <w:gridCol w:w="38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2"/>
        <w:gridCol w:w="727"/>
        <w:gridCol w:w="109"/>
        <w:gridCol w:w="109"/>
        <w:gridCol w:w="109"/>
        <w:gridCol w:w="109"/>
        <w:gridCol w:w="246"/>
        <w:gridCol w:w="967"/>
        <w:gridCol w:w="127"/>
        <w:gridCol w:w="109"/>
        <w:gridCol w:w="109"/>
        <w:gridCol w:w="109"/>
        <w:gridCol w:w="211"/>
        <w:gridCol w:w="976"/>
        <w:gridCol w:w="160"/>
      </w:tblGrid>
      <w:tr>
        <w:trPr/>
        <w:tc>
          <w:tcPr>
            <w:tcW w:w="63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Corporate</w:t>
            </w:r>
          </w:p>
          <w:p>
            <w:pPr>
              <w:pStyle w:val="TableContents"/>
              <w:bidi w:val="0"/>
              <w:spacing w:lineRule="auto" w:line="240" w:before="0" w:after="0"/>
              <w:jc w:val="center"/>
              <w:rPr/>
            </w:pPr>
            <w:r>
              <w:rPr>
                <w:rFonts w:ascii="Times New Roman;serif" w:hAnsi="Times New Roman;serif"/>
                <w:b/>
                <w:color w:val="000000"/>
                <w:sz w:val="16"/>
              </w:rPr>
              <w:t xml:space="preserve">Finance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FLC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Economic</w:t>
            </w:r>
          </w:p>
          <w:p>
            <w:pPr>
              <w:pStyle w:val="TableContents"/>
              <w:bidi w:val="0"/>
              <w:spacing w:lineRule="auto" w:line="240" w:before="0" w:after="0"/>
              <w:jc w:val="center"/>
              <w:rPr/>
            </w:pPr>
            <w:r>
              <w:rPr>
                <w:rFonts w:ascii="Times New Roman;serif" w:hAnsi="Times New Roman;serif"/>
                <w:b/>
                <w:color w:val="000000"/>
                <w:sz w:val="16"/>
              </w:rPr>
              <w:t xml:space="preserve">Consulting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Technology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Strategic</w:t>
            </w:r>
          </w:p>
          <w:p>
            <w:pPr>
              <w:pStyle w:val="TableContents"/>
              <w:bidi w:val="0"/>
              <w:spacing w:lineRule="auto" w:line="240" w:before="0" w:after="0"/>
              <w:jc w:val="center"/>
              <w:rPr/>
            </w:pPr>
            <w:r>
              <w:rPr>
                <w:rFonts w:ascii="Times New Roman;serif" w:hAnsi="Times New Roman;serif"/>
                <w:b/>
                <w:color w:val="000000"/>
                <w:sz w:val="16"/>
              </w:rPr>
              <w:t xml:space="preserve">Communications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118,553 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1,242,777 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3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translation </w:t>
            </w:r>
          </w:p>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adjustment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542,222 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117,400 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1,239,753 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720"/>
        <w:jc w:val="left"/>
        <w:rPr/>
      </w:pPr>
      <w:r>
        <w:rPr>
          <w:rFonts w:ascii="Times New Roman;serif" w:hAnsi="Times New Roman;serif"/>
          <w:b w:val="false"/>
          <w:color w:val="000000"/>
          <w:sz w:val="13"/>
        </w:rPr>
        <w:t>(1)    </w:t>
      </w:r>
      <w:r>
        <w:rPr>
          <w:rFonts w:ascii="Times New Roman;serif" w:hAnsi="Times New Roman;serif"/>
          <w:b w:val="false"/>
          <w:color w:val="000000"/>
          <w:sz w:val="20"/>
        </w:rPr>
        <w:t>There were no accumulated impairment losses for the Corporate Finance, FLC, Economic Consulting or Technology segments as of June 30, 2026 and December 31, 2025.</w:t>
      </w:r>
    </w:p>
    <w:p>
      <w:pPr>
        <w:pStyle w:val="TextBody"/>
        <w:bidi w:val="0"/>
        <w:spacing w:lineRule="auto" w:line="288" w:before="0" w:after="180"/>
        <w:ind w:left="0" w:right="0" w:hanging="720"/>
        <w:jc w:val="left"/>
        <w:rPr/>
      </w:pPr>
      <w:r>
        <w:rPr>
          <w:rFonts w:ascii="Times New Roman;serif" w:hAnsi="Times New Roman;serif"/>
          <w:b w:val="false"/>
          <w:color w:val="000000"/>
          <w:sz w:val="13"/>
        </w:rPr>
        <w:t>(2)    </w:t>
      </w:r>
      <w:r>
        <w:rPr>
          <w:rFonts w:ascii="Times New Roman;serif" w:hAnsi="Times New Roman;serif"/>
          <w:b w:val="false"/>
          <w:color w:val="000000"/>
          <w:sz w:val="20"/>
        </w:rPr>
        <w:t>Amounts for our Strategic Communications segment include gross carrying values of $311.5 million and $312.7 million as of June 30, 2026 and December 31, 2025, respectively, and accumulated impairment losses of $194.1 million as of June 30, 2026 and December 31, 2025.</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Intangible assets were as follows:</w:t>
      </w:r>
    </w:p>
    <w:tbl>
      <w:tblPr>
        <w:tblW w:w="10205" w:type="dxa"/>
        <w:jc w:val="left"/>
        <w:tblInd w:w="0" w:type="dxa"/>
        <w:tblLayout w:type="fixed"/>
        <w:tblCellMar>
          <w:top w:w="28" w:type="dxa"/>
          <w:left w:w="28" w:type="dxa"/>
          <w:bottom w:w="28" w:type="dxa"/>
          <w:right w:w="28" w:type="dxa"/>
        </w:tblCellMar>
      </w:tblPr>
      <w:tblGrid>
        <w:gridCol w:w="841"/>
        <w:gridCol w:w="513"/>
        <w:gridCol w:w="516"/>
        <w:gridCol w:w="109"/>
        <w:gridCol w:w="109"/>
        <w:gridCol w:w="109"/>
        <w:gridCol w:w="211"/>
        <w:gridCol w:w="721"/>
        <w:gridCol w:w="109"/>
        <w:gridCol w:w="109"/>
        <w:gridCol w:w="109"/>
        <w:gridCol w:w="109"/>
        <w:gridCol w:w="219"/>
        <w:gridCol w:w="748"/>
        <w:gridCol w:w="114"/>
        <w:gridCol w:w="109"/>
        <w:gridCol w:w="109"/>
        <w:gridCol w:w="109"/>
        <w:gridCol w:w="211"/>
        <w:gridCol w:w="721"/>
        <w:gridCol w:w="109"/>
        <w:gridCol w:w="109"/>
        <w:gridCol w:w="109"/>
        <w:gridCol w:w="109"/>
        <w:gridCol w:w="211"/>
        <w:gridCol w:w="721"/>
        <w:gridCol w:w="109"/>
        <w:gridCol w:w="109"/>
        <w:gridCol w:w="109"/>
        <w:gridCol w:w="109"/>
        <w:gridCol w:w="219"/>
        <w:gridCol w:w="748"/>
        <w:gridCol w:w="114"/>
        <w:gridCol w:w="109"/>
        <w:gridCol w:w="109"/>
        <w:gridCol w:w="109"/>
        <w:gridCol w:w="211"/>
        <w:gridCol w:w="721"/>
        <w:gridCol w:w="156"/>
      </w:tblGrid>
      <w:tr>
        <w:trPr/>
        <w:tc>
          <w:tcPr>
            <w:tcW w:w="84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7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br/>
              <w:t>Carrying</w:t>
              <w:br/>
              <w:t>Amount</w:t>
            </w:r>
          </w:p>
        </w:tc>
      </w:tr>
      <w:tr>
        <w:trPr/>
        <w:tc>
          <w:tcPr>
            <w:tcW w:w="1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Amortizing intangible assets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Non-amortizing intangible assets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18,103 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720"/>
        <w:jc w:val="left"/>
        <w:rPr/>
      </w:pPr>
      <w:r>
        <w:rPr>
          <w:rFonts w:ascii="Times New Roman;serif" w:hAnsi="Times New Roman;serif"/>
          <w:b w:val="false"/>
          <w:color w:val="000000"/>
          <w:sz w:val="13"/>
        </w:rPr>
        <w:t>(1)    </w:t>
      </w:r>
      <w:r>
        <w:rPr>
          <w:rFonts w:ascii="Times New Roman;serif" w:hAnsi="Times New Roman;serif"/>
          <w:b w:val="false"/>
          <w:color w:val="000000"/>
          <w:sz w:val="20"/>
        </w:rPr>
        <w:t>Amortizing intangible assets primarily include customer relationships as of June 30, 2026 and December 31, 2025.</w:t>
      </w:r>
    </w:p>
    <w:p>
      <w:pPr>
        <w:pStyle w:val="TextBody"/>
        <w:bidi w:val="0"/>
        <w:spacing w:lineRule="auto" w:line="288" w:before="0" w:after="180"/>
        <w:ind w:left="0" w:right="0" w:hanging="720"/>
        <w:jc w:val="left"/>
        <w:rPr/>
      </w:pPr>
      <w:r>
        <w:rPr>
          <w:rFonts w:ascii="Times New Roman;serif" w:hAnsi="Times New Roman;serif"/>
          <w:b w:val="false"/>
          <w:color w:val="000000"/>
          <w:sz w:val="13"/>
        </w:rPr>
        <w:t>(2)    </w:t>
      </w:r>
      <w:r>
        <w:rPr>
          <w:rFonts w:ascii="Times New Roman;serif" w:hAnsi="Times New Roman;serif"/>
          <w:b w:val="false"/>
          <w:color w:val="000000"/>
          <w:sz w:val="20"/>
        </w:rPr>
        <w:t>Non-amortizing intangible assets include trademarks as of June 30, 2026 and December 31, 2025.</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Intangible assets with finite lives are amortized over their estimated useful lives. We recorded amortization expense of $0.5 million and $1.2 million during the three and six months ended June 30, 2026, respectively, and $1.1 million and $2.1 million during the three and six months ended June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8. Debt</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June 30, 2026, we entered into a third amended and restated credit agreement (as amended and restated, the “Credit Agreement”) governing our senior unsecured bank revolving credit facility (the “Revolving Credit Facility”) and our Incremental Term Loan (as defined below), to, among other things, (i) extend the maturity date of the Revolving Credit Facility to June 30, 2031, (ii) increase the revolving line of credit limit from $900.0 million to up to $1.5 billion, with the existing $300.0 million Incremental Term Loan remaining outstanding under the Credit Agreement, and (iii) permit the Company to incur incremental facilities in an aggregate amount of up to (a) the greater of $500.0 million and 100% of consolidated EBITDA, plus (b) an unlimited amount, subject to certain conditions. Our Revolving Credit Facility is unsecured, based on the Company’s investment grade credit rating from S&amp;P Global, with only unsecured guarantees being provided by certain of our material wholly-owned domestic subsidiaries.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March 17, 2026, we entered into an incremental amendment to our second amended and restated credit agreement (the “Incremental Amendment”) which provides for a term loan in the aggregate amount of $300.0 million (the “Incremental Term Loan”). The Incremental Term Loan matures on March 17, 2029, and requires the Company to pay customary fees and expenses.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incurred $4.6 million and $5.4 million of debt issuance costs during the three and six months ended June 30, 2026, respectively, associated with the amendment and restatement of the Credit Agreement and the Incremental Amendment.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components of our debt:</w:t>
      </w:r>
    </w:p>
    <w:tbl>
      <w:tblPr>
        <w:tblW w:w="6002" w:type="dxa"/>
        <w:jc w:val="left"/>
        <w:tblInd w:w="0" w:type="dxa"/>
        <w:tblLayout w:type="fixed"/>
        <w:tblCellMar>
          <w:top w:w="28" w:type="dxa"/>
          <w:left w:w="28" w:type="dxa"/>
          <w:bottom w:w="28" w:type="dxa"/>
          <w:right w:w="28" w:type="dxa"/>
        </w:tblCellMar>
      </w:tblPr>
      <w:tblGrid>
        <w:gridCol w:w="1027"/>
        <w:gridCol w:w="901"/>
        <w:gridCol w:w="907"/>
        <w:gridCol w:w="211"/>
        <w:gridCol w:w="976"/>
        <w:gridCol w:w="109"/>
        <w:gridCol w:w="109"/>
        <w:gridCol w:w="109"/>
        <w:gridCol w:w="109"/>
        <w:gridCol w:w="273"/>
        <w:gridCol w:w="1072"/>
        <w:gridCol w:w="199"/>
      </w:tblGrid>
      <w:tr>
        <w:trPr/>
        <w:tc>
          <w:tcPr>
            <w:tcW w:w="102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365,000 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Incremental Term Loan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365,000 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deferred debt issuance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Long-term debt, net </w:t>
            </w:r>
            <w:r>
              <w:rPr>
                <w:rFonts w:ascii="Times New Roman;serif" w:hAnsi="Times New Roman;serif"/>
                <w:b w:val="false"/>
                <w:color w:val="000000"/>
                <w:sz w:val="13"/>
              </w:rPr>
              <w:t>(1)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1,019,320 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365,000 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720"/>
        <w:jc w:val="left"/>
        <w:rPr/>
      </w:pPr>
      <w:r>
        <w:rPr>
          <w:rFonts w:ascii="Times New Roman;serif" w:hAnsi="Times New Roman;serif"/>
          <w:b/>
          <w:color w:val="000000"/>
          <w:sz w:val="13"/>
        </w:rPr>
        <w:t>(1)</w:t>
      </w:r>
      <w:r>
        <w:rPr>
          <w:rFonts w:ascii="Times New Roman;serif" w:hAnsi="Times New Roman;serif"/>
          <w:b w:val="false"/>
          <w:color w:val="000000"/>
          <w:sz w:val="20"/>
        </w:rPr>
        <w:t>There were no current portions of long-term debt as of June 30, 2026 and December 31, 2025. The Company classified the borrowings under the Revolving Credit Facility as long-term debt in the accompanying Condensed Consolidated Balance Sheets, as we have the intent and unilateral ability to refinance any borrowings on a continuous basis through the maturity of the Revolving Credit Facility on June 30, 2031.</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Borrowings under the Revolving Credit Facility and the Incremental Term Loan bear interest, at the Company’s option, at a rate based on a term or daily Secured Overnight Financing Rate (“SOFR”) plus an applicable margin, or a base rate plus an applicable margin. The applicable margins are variable and fluctuate between 1.00% and 1.625% per annum based upon the Company’s credit ratings (as defined in the Credit Agreement) at such time or a base rate plus an applicable margin that will fluctuate between 0.00% and 0.625% per annum based upon the Company’s credit ratings at such time. The base rate is a fluctuating rate per annum equal to the highest of (1) the Federal Funds rate (as defined in the Credit Agreement) plus 50 basis points, (2) the rate of interest in effect for such day as the prime rate announced by Bank of America, and (3) the one-month Term SOFR plus 100 basis points.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Revolving Credit Facility, we are required to pay a commitment fee rate that fluctuates between 0.125% and 0.275% per annum and a letter of credit fee rate that fluctuates between 1.00% and 1.625% per annum, in each case, based upon the Company’s credit ratings.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9. Leases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lease office space and equipment under non-cancelable operating leases. The table below summarizes the carrying amount of our operating lease assets and liabilities:</w:t>
      </w:r>
    </w:p>
    <w:tbl>
      <w:tblPr>
        <w:tblW w:w="9864" w:type="dxa"/>
        <w:jc w:val="left"/>
        <w:tblInd w:w="0" w:type="dxa"/>
        <w:tblLayout w:type="fixed"/>
        <w:tblCellMar>
          <w:top w:w="28" w:type="dxa"/>
          <w:left w:w="28" w:type="dxa"/>
          <w:bottom w:w="28" w:type="dxa"/>
          <w:right w:w="28" w:type="dxa"/>
        </w:tblCellMar>
      </w:tblPr>
      <w:tblGrid>
        <w:gridCol w:w="838"/>
        <w:gridCol w:w="737"/>
        <w:gridCol w:w="749"/>
        <w:gridCol w:w="109"/>
        <w:gridCol w:w="109"/>
        <w:gridCol w:w="109"/>
        <w:gridCol w:w="1288"/>
        <w:gridCol w:w="1288"/>
        <w:gridCol w:w="1293"/>
        <w:gridCol w:w="109"/>
        <w:gridCol w:w="109"/>
        <w:gridCol w:w="109"/>
        <w:gridCol w:w="211"/>
        <w:gridCol w:w="826"/>
        <w:gridCol w:w="109"/>
        <w:gridCol w:w="109"/>
        <w:gridCol w:w="109"/>
        <w:gridCol w:w="109"/>
        <w:gridCol w:w="273"/>
        <w:gridCol w:w="1072"/>
        <w:gridCol w:w="199"/>
      </w:tblGrid>
      <w:tr>
        <w:trPr/>
        <w:tc>
          <w:tcPr>
            <w:tcW w:w="83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201,492 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201,492 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37,211 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224,510 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261,721 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total lease costs:</w:t>
      </w:r>
    </w:p>
    <w:tbl>
      <w:tblPr>
        <w:tblW w:w="8037" w:type="dxa"/>
        <w:jc w:val="left"/>
        <w:tblInd w:w="0" w:type="dxa"/>
        <w:tblLayout w:type="fixed"/>
        <w:tblCellMar>
          <w:top w:w="28" w:type="dxa"/>
          <w:left w:w="28" w:type="dxa"/>
          <w:bottom w:w="28" w:type="dxa"/>
          <w:right w:w="28" w:type="dxa"/>
        </w:tblCellMar>
      </w:tblPr>
      <w:tblGrid>
        <w:gridCol w:w="909"/>
        <w:gridCol w:w="799"/>
        <w:gridCol w:w="812"/>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Lease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lease cost,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maturity analysis below summarizes the remaining future undiscounted cash flows for our operating leases and includes a reconciliation to operating lease liabilities reported on the Condensed Consolidated Balance Sheets:</w:t>
      </w:r>
    </w:p>
    <w:tbl>
      <w:tblPr>
        <w:tblW w:w="3726" w:type="dxa"/>
        <w:jc w:val="center"/>
        <w:tblInd w:w="0" w:type="dxa"/>
        <w:tblLayout w:type="fixed"/>
        <w:tblCellMar>
          <w:top w:w="28" w:type="dxa"/>
          <w:left w:w="28" w:type="dxa"/>
          <w:bottom w:w="28" w:type="dxa"/>
          <w:right w:w="28" w:type="dxa"/>
        </w:tblCellMar>
      </w:tblPr>
      <w:tblGrid>
        <w:gridCol w:w="917"/>
        <w:gridCol w:w="806"/>
        <w:gridCol w:w="812"/>
        <w:gridCol w:w="211"/>
        <w:gridCol w:w="826"/>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As of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(remaining)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future lease payments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Less: imputed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table below includes cash paid for our operating lease liabilities, other non-cash information, our weighted average remaining lease term and weighted average discount rate:</w:t>
      </w:r>
    </w:p>
    <w:tbl>
      <w:tblPr>
        <w:tblW w:w="10177" w:type="dxa"/>
        <w:jc w:val="center"/>
        <w:tblInd w:w="0" w:type="dxa"/>
        <w:tblLayout w:type="fixed"/>
        <w:tblCellMar>
          <w:top w:w="28" w:type="dxa"/>
          <w:left w:w="28" w:type="dxa"/>
          <w:bottom w:w="28" w:type="dxa"/>
          <w:right w:w="28" w:type="dxa"/>
        </w:tblCellMar>
      </w:tblPr>
      <w:tblGrid>
        <w:gridCol w:w="2404"/>
        <w:gridCol w:w="2107"/>
        <w:gridCol w:w="2119"/>
        <w:gridCol w:w="109"/>
        <w:gridCol w:w="109"/>
        <w:gridCol w:w="279"/>
        <w:gridCol w:w="279"/>
        <w:gridCol w:w="540"/>
        <w:gridCol w:w="279"/>
        <w:gridCol w:w="693"/>
        <w:gridCol w:w="109"/>
        <w:gridCol w:w="109"/>
        <w:gridCol w:w="109"/>
        <w:gridCol w:w="211"/>
        <w:gridCol w:w="184"/>
        <w:gridCol w:w="537"/>
      </w:tblGrid>
      <w:tr>
        <w:trPr/>
        <w:tc>
          <w:tcPr>
            <w:tcW w:w="2404"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259" w:type="dxa"/>
            <w:gridSpan w:val="6"/>
            <w:tcBorders/>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28,670</w:t>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 obtained in exchange for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7,489</w:t>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remaining lease term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discount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10. Commitments and Contingencies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subject to legal actions arising in the ordinary course of business. In management’s opinion, we believe we have adequate legal defenses and/or insurance coverage with respect to the eventuality of such actions. We are not aware of any asserted or unasserted legal proceedings or claims that we believe would have a material adverse effect on our financial condition or our results of operations. During the six months ended June 30, 2025, the Company recorded the impact of proceeds received from legal settlements. These amounts are included as a gain in “Selling, general and administrative (“SG&amp;A”) expenses” on our Condensed Consolidated Statements of Comprehensive Income.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we were contingently liable under bank guarantees issued in favor of third parties that totaled $18.6 million and $17.5 million, respectively. These bank guarantees primarily support bid and performance obligations and operating leases for office space. The amounts are guaranteed under guarantee facilities totaling $40.7 million and $32.5 million as of June 30, 2026 and December 31, 2025, respectively. We had $22.1 million and $15.0 million available under the guarantee facilities as of June 30, 2026 and December 31, 2025, respectively. These bank guarantees are issued separately from our Revolving Credit Facility and, as a result, do not affect available borrowing capacity under our Revolving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entered into a TEI of $42.1 million during the three months ended June 30, 2026. The TEI owns projects related to solar energy and produces tax credits under Section 48 and 48E of the Internal Revenue Code. The initial investment is included in “Payment for tax equity investment” on the Condensed Consolidated Statement of Cash Flows. As of June 30, 2026, the remaining unamortized balance of the investment totaled $25.2 million and was included within “Prepaid expenses and other current assets” on our Condensed Consolidated Balance Sheets.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recognized net tax benefits of $7.1 million related to our tax equity investment during the three months ended June 30, 2026. These recognized net tax benefits were recorded within “Income tax provision” on our Condensed Consolidated Statements of Comprehensive Income. The net tax benefits include tax credits and other income tax benefits of $24.0 million, which were partially offset by amortization expense of $16.9 million during the three months ended June 30, 2026. The amortization expense is presented in “Amortization of tax equity investment” on the Condensed Consolidated Statement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12. Share-Based Compensation</w:t>
      </w:r>
    </w:p>
    <w:p>
      <w:pPr>
        <w:pStyle w:val="TextBody"/>
        <w:bidi w:val="0"/>
        <w:spacing w:lineRule="auto" w:line="288" w:before="0" w:after="180"/>
        <w:ind w:left="0" w:right="0" w:firstLine="540"/>
        <w:jc w:val="left"/>
        <w:rPr/>
      </w:pPr>
      <w:r>
        <w:rPr>
          <w:rFonts w:ascii="Times New Roman;serif" w:hAnsi="Times New Roman;serif"/>
          <w:b w:val="false"/>
          <w:color w:val="000000"/>
          <w:sz w:val="20"/>
        </w:rPr>
        <w:t>We granted equity awards of 199,200 restricted shares, 120,926 restricted stock units and 117,570 performance stock units during the six months ended June 30, 2026, under the FTI Consulting, Inc. 2017 Omnibus Incentive Compensation Plan, as amended, our employee equity compensation plan. Our performance stock units are presented at the maximum potential payout percentage of target shares granted.</w:t>
      </w:r>
      <w:r>
        <w:rPr>
          <w:color w:val="FF0000"/>
        </w:rPr>
        <w:t xml:space="preserve"> </w:t>
      </w:r>
      <w:r>
        <w:rPr>
          <w:rFonts w:ascii="Times New Roman;serif" w:hAnsi="Times New Roman;serif"/>
          <w:b w:val="false"/>
          <w:color w:val="000000"/>
          <w:sz w:val="20"/>
        </w:rPr>
        <w:t>These awards are recorded as equity on the Condensed Consolidated Balance Sheets. During the six months ended June 30, 2026, 6,155 shares of restricted stock and 11,737 restricted stock units were forfeited prior to the completion of the applicable vesting requirements. Additionally, 42,132 performance stock units were forfeited during the six months ended June 30, 2026, including award targets that were not achieved.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 net of forfeitures, is detailed in the following table:</w:t>
      </w:r>
    </w:p>
    <w:tbl>
      <w:tblPr>
        <w:tblW w:w="9251" w:type="dxa"/>
        <w:jc w:val="left"/>
        <w:tblInd w:w="0" w:type="dxa"/>
        <w:tblLayout w:type="fixed"/>
        <w:tblCellMar>
          <w:top w:w="28" w:type="dxa"/>
          <w:left w:w="28" w:type="dxa"/>
          <w:bottom w:w="28" w:type="dxa"/>
          <w:right w:w="28" w:type="dxa"/>
        </w:tblCellMar>
      </w:tblPr>
      <w:tblGrid>
        <w:gridCol w:w="1353"/>
        <w:gridCol w:w="1188"/>
        <w:gridCol w:w="1193"/>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Statement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13. Stockholders’ Equity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Stock Repurchase Program</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June 2, 2016, our Board of Directors authorized a stock repurchase program (the “Repurchase Program”), which was most recently increased by $370.0 million to an aggregate authorization of $2.6 billion on June 3, 2026. No time limit has been established for the completion of the Repurchase Program, and the Repurchase Program may be suspended, discontinued or replaced by the Board of Directors at any time without prior notice. As of June 30, 2026, we had $344.0 million available under the Repurchase Program to repurchase additional shares of our common stock.</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our stock repurchases under the Repurchase Program:</w:t>
      </w:r>
    </w:p>
    <w:tbl>
      <w:tblPr>
        <w:tblW w:w="9957" w:type="dxa"/>
        <w:jc w:val="left"/>
        <w:tblInd w:w="0" w:type="dxa"/>
        <w:tblLayout w:type="fixed"/>
        <w:tblCellMar>
          <w:top w:w="28" w:type="dxa"/>
          <w:left w:w="28" w:type="dxa"/>
          <w:bottom w:w="28" w:type="dxa"/>
          <w:right w:w="28" w:type="dxa"/>
        </w:tblCellMar>
      </w:tblPr>
      <w:tblGrid>
        <w:gridCol w:w="1456"/>
        <w:gridCol w:w="1280"/>
        <w:gridCol w:w="1284"/>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45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common stock repurchased and retired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Average price paid per share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cost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541,020 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720"/>
        <w:jc w:val="left"/>
        <w:rPr/>
      </w:pPr>
      <w:r>
        <w:rPr>
          <w:rFonts w:ascii="Times New Roman;serif" w:hAnsi="Times New Roman;serif"/>
          <w:b w:val="false"/>
          <w:color w:val="000000"/>
          <w:sz w:val="13"/>
        </w:rPr>
        <w:t>(1)    </w:t>
      </w:r>
      <w:r>
        <w:rPr>
          <w:rFonts w:ascii="Times New Roman;serif" w:hAnsi="Times New Roman;serif"/>
          <w:b w:val="false"/>
          <w:color w:val="000000"/>
          <w:sz w:val="20"/>
        </w:rPr>
        <w:t>Excludes commissions and excise tax of $3.8 million and $5.2 million incurred during the three and six months ended June 30, 2026, respectively, and $3.3 million and $4.8 million for the three and six months ended June 30, 2025, respectively.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we repurchase our common shares, we reduce stated capital on our Condensed Consolidated Balance Sheets for the $0.01 of par value of the shares repurchased, with the excess purchase price over par value recorded as a reduction to additional paid-in capital. If additional paid-in capital is reduced to zero, we record the remainder of the excess purchase price over par value as a reduction to retained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Common Stock Outstanding</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Common stock outstanding was approximately 27.7 million shares and 30.9 million shares as of June 30, 2026 and December 31, 2025, respectively. Common stock outstanding includes unvested restricted stock awards, which are considered issued and outstanding under the terms of the restricted stock award agreements. The decrease in common stock outstanding was primarily due to stock repurchases under the Repurchase Program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14. Segment Reporting</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manage our business in five reportable segments: Corporate Finance, FLC, Economic Consulting, Technology and Strategic Communications.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Corporate Finance segment focuses on the strategic, operational, financial, transactional and capital needs of our clients around the world. Our clients include companies, boards of directors, investors, private equity sponsors, lenders, and other financing sources and creditor groups, governments and other interested parties. We deliver a wide range of services centered around three core offerings: Transactions, Transformation and Turnaround &amp; Restructuring.</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FLC segment provides law firms, companies, boards of directors, government entities, private equity firms and other interested parties with a multidisciplinary and independent range of services across risk &amp; investigations and disputes, supported by our data &amp; analytics technology-enabled solutions, with a focus on highly regulated industries. Our services are centered around five core offerings: Construction, Projects &amp; Assets and Environmental Solutions, Data &amp; Analytics, Dispute Advisory Services, Healthcare Risk Management &amp; Advisory and Risk &amp; Investigations, which includes our cybersecurity and financial services-related offerings.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Economic Consulting segment, including subsidiary Compass Lexecon LLC, provides law firms, companies, government entities and other interested parties with analyses of complex economic issues for use in international arbitration, legal and regulatory proceedings and strategic decision making and public policy debates around the world. We deliver a wide range of services centered around three core offerings: Antitrust &amp; Competition Economics, Financial Economics and International Arbitration.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Technology segment provides companies, law firms, private equity firms and government entities with a comprehensive global portfolio of digital insights and risk management, artificial intelligence (“AI”) and data services. Our professionals help organizations better address risk as the growing volume and variety of enterprise and emerging data intersects with legal, regulatory and compliance needs. We deliver a wide range of expert and AI-powered solutions driven by five core client needs: Blockchain &amp; Digital Assets, Information Governance, Privacy &amp; Security, Investigations, Litigation, and M&amp;A, Antitrust and Competition.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Strategic Communications segment develops and executes communications strategies to help management teams, boards of directors, law firms, governments and regulators manage change and mitigate risk surrounding transformational and disruptive events, including crises, transactions, investigations, disputes, regulation and legislation. We deliver a wide range of services centered around three core offerings: Corporate Reputation, Financial Communications and Public Affairs.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considered information that is regularly provided to our Chief Executive Officer, who is our chief operating decision maker (“CODM”), for our segment reporting disclosure. Our CODM assesses the performance and allocates resources to each segment based on revenues and multiple measures of segment profit, including gross profit, which is the measure closest to GAAP reporting principles. Gross profit is defined as revenues less direct costs of revenues. Our CODM uses gross profit (i) to evaluate reportable segment performance against budgets, forecasts and strategies and (ii) to make strategic decisions regarding resource allocation, such as billable headcount and related compensation costs, as well as utilization and bill rates of our service offerings. Our CODM is not provided asset information by reportable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tables below summarize revenues, significant expenses and gross profit by reportable segment:</w:t>
      </w:r>
    </w:p>
    <w:tbl>
      <w:tblPr>
        <w:tblW w:w="10514" w:type="dxa"/>
        <w:jc w:val="left"/>
        <w:tblInd w:w="0" w:type="dxa"/>
        <w:tblLayout w:type="fixed"/>
        <w:tblCellMar>
          <w:top w:w="28" w:type="dxa"/>
          <w:left w:w="28" w:type="dxa"/>
          <w:bottom w:w="28" w:type="dxa"/>
          <w:right w:w="28" w:type="dxa"/>
        </w:tblCellMar>
      </w:tblPr>
      <w:tblGrid>
        <w:gridCol w:w="884"/>
        <w:gridCol w:w="210"/>
        <w:gridCol w:w="212"/>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43"/>
        <w:gridCol w:w="952"/>
        <w:gridCol w:w="126"/>
        <w:gridCol w:w="109"/>
        <w:gridCol w:w="109"/>
        <w:gridCol w:w="109"/>
        <w:gridCol w:w="211"/>
        <w:gridCol w:w="976"/>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br/>
              <w:t>Finance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Economic</w:t>
              <w:br/>
              <w:t>Consulting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Strategic Communications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99,982 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993,464 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Direct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Compensation expenses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52,758 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62,291 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677,191 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37,691 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br/>
              <w:t>Finance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Economic</w:t>
              <w:br/>
              <w:t>Consulting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Strategic Communications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202,976 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1,976,809 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Direct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Compensation expenses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104,880 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1,194,992 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124,870 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1,353,709 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288,148 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78,106 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623,100 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br/>
              <w:t>Finance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Economic</w:t>
              <w:br/>
              <w:t>Consulting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Strategic Communications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102,650 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943,662 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Direct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Compensation expenses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49,538 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560,388 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65,523 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641,141 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37,127 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Six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br/>
              <w:t>Finance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Economic</w:t>
              <w:br/>
              <w:t>Consulting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Strategic Communications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189,668 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1,841,944 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Direct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Compensation expenses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95,017 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122,215 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67,453 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591,875 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The significant expense category and amounts align with the segment-level information that is regularly provided to the CODM.</w:t>
      </w:r>
    </w:p>
    <w:p>
      <w:pPr>
        <w:pStyle w:val="TextBody"/>
        <w:bidi w:val="0"/>
        <w:spacing w:lineRule="auto" w:line="288" w:before="0" w:after="18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Other segment items include expenses for contractor fees and other costs. In our Technology segment, other segment items also include expenses related to software, licensing, data storage and depreciation.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table below reconciles income before income tax provision to total segment gross profit:</w:t>
      </w:r>
    </w:p>
    <w:tbl>
      <w:tblPr>
        <w:tblW w:w="9717" w:type="dxa"/>
        <w:jc w:val="left"/>
        <w:tblInd w:w="0" w:type="dxa"/>
        <w:tblLayout w:type="fixed"/>
        <w:tblCellMar>
          <w:top w:w="28" w:type="dxa"/>
          <w:left w:w="28" w:type="dxa"/>
          <w:bottom w:w="28" w:type="dxa"/>
          <w:right w:w="28" w:type="dxa"/>
        </w:tblCellMar>
      </w:tblPr>
      <w:tblGrid>
        <w:gridCol w:w="1369"/>
        <w:gridCol w:w="1201"/>
        <w:gridCol w:w="1210"/>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36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386,539 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623,100 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591,875 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tbl>
      <w:tblPr>
        <w:tblW w:w="8310" w:type="dxa"/>
        <w:jc w:val="center"/>
        <w:tblInd w:w="0" w:type="dxa"/>
        <w:tblLayout w:type="fixed"/>
        <w:tblCellMar>
          <w:top w:w="28" w:type="dxa"/>
          <w:left w:w="28" w:type="dxa"/>
          <w:bottom w:w="28" w:type="dxa"/>
          <w:right w:w="28" w:type="dxa"/>
        </w:tblCellMar>
      </w:tblPr>
      <w:tblGrid>
        <w:gridCol w:w="255"/>
        <w:gridCol w:w="224"/>
        <w:gridCol w:w="226"/>
        <w:gridCol w:w="2228"/>
        <w:gridCol w:w="2228"/>
        <w:gridCol w:w="3149"/>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3149"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7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tc>
      </w:tr>
    </w:tbl>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is a discussion and analysis of our consolidated financial condition, results of operations, and liquidity and capital resources for the three and six months ended June 30, 2026 and 2025, and significant factors that could affect our prospective financial condition and results of operations. This discussion should be read in conjunction with the accompanying unaudited condensed consolidated financial statements and related notes and with our Annual Report on Form 10-K for the year ended December 31, 2025 filed with the United States (“U.S.”) Securities and Exchange Commission (“SEC”). In addition to historical information, the following discussion includes forward-looking statements based on current expectations that involve risks, uncertainties and assumptions, such as our plans, objectives, expectations and intentions. Although we believe that the expectations reflected in the forward-looking statements contained herein are reasonable, these expectations or any of the forward-looking statements could prove to be incorrect, and actual results could differ materially from those projected or assumed in the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FTI Consulting, Inc., including its consolidated subsidiaries (collectively, the “Company,” “we,” “our” or “FTI Consulting”) is a leading global expert firm for organizations facing crisis and transformation. Individually, each of our segments and practices is staffed with experts recognized for the depth of their knowledge and a track record of making an impact.</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report financial results for the following five reportable segments:</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Our </w:t>
      </w:r>
      <w:r>
        <w:rPr>
          <w:rFonts w:ascii="Times New Roman;serif" w:hAnsi="Times New Roman;serif"/>
          <w:b/>
          <w:color w:val="000000"/>
          <w:sz w:val="20"/>
        </w:rPr>
        <w:t>Corporate Finance</w:t>
      </w:r>
      <w:r>
        <w:rPr>
          <w:color w:val="000000"/>
        </w:rPr>
        <w:t xml:space="preserve"> </w:t>
      </w:r>
      <w:r>
        <w:rPr>
          <w:rFonts w:ascii="Times New Roman;serif" w:hAnsi="Times New Roman;serif"/>
          <w:b w:val="false"/>
          <w:color w:val="000000"/>
          <w:sz w:val="20"/>
        </w:rPr>
        <w:t>segment focuses on the strategic, operational, financial, transactional and capital needs of our clients around the world. Our clients include companies, boards of directors, investors, private equity sponsors, lenders, and other financing sources and creditor groups, governments and other interested parties. We deliver a wide range of services centered around three core offerings: Transactions, Transformation and Turnaround &amp; Restructuring.</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Our </w:t>
      </w:r>
      <w:r>
        <w:rPr>
          <w:rFonts w:ascii="Times New Roman;serif" w:hAnsi="Times New Roman;serif"/>
          <w:b/>
          <w:color w:val="000000"/>
          <w:sz w:val="20"/>
        </w:rPr>
        <w:t>Forensic and Litigation Consulting (“FLC”)</w:t>
      </w:r>
      <w:r>
        <w:rPr>
          <w:color w:val="000000"/>
        </w:rPr>
        <w:t xml:space="preserve"> </w:t>
      </w:r>
      <w:r>
        <w:rPr>
          <w:rFonts w:ascii="Times New Roman;serif" w:hAnsi="Times New Roman;serif"/>
          <w:b w:val="false"/>
          <w:color w:val="000000"/>
          <w:sz w:val="20"/>
        </w:rPr>
        <w:t>segment provides law firms, companies, boards of directors, government entities, private equity firms and other interested parties with a multidisciplinary and independent range of services across risk &amp; investigations and disputes, supported by our data &amp; analytics technology-enabled solutions, with a focus on highly regulated industries. Our services are centered around five core offerings: Construction, Projects &amp; Assets and Environmental Solutions, Data &amp; Analytics, Dispute Advisory Services, Healthcare Risk Management &amp; Advisory and Risk &amp; Investigations, which includes our cybersecurity and financial services-related offerings.</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Our </w:t>
      </w:r>
      <w:r>
        <w:rPr>
          <w:rFonts w:ascii="Times New Roman;serif" w:hAnsi="Times New Roman;serif"/>
          <w:b/>
          <w:color w:val="000000"/>
          <w:sz w:val="20"/>
        </w:rPr>
        <w:t>Economic Consulting</w:t>
      </w:r>
      <w:r>
        <w:rPr>
          <w:color w:val="000000"/>
        </w:rPr>
        <w:t xml:space="preserve"> </w:t>
      </w:r>
      <w:r>
        <w:rPr>
          <w:rFonts w:ascii="Times New Roman;serif" w:hAnsi="Times New Roman;serif"/>
          <w:b w:val="false"/>
          <w:color w:val="000000"/>
          <w:sz w:val="20"/>
        </w:rPr>
        <w:t>segment, including subsidiary Compass Lexecon LLC, provides law firms, companies, government entities and other interested parties with analyses of complex economic issues for use in international arbitration, legal and regulatory proceedings and strategic decision making and public policy debates around the world. We deliver a wide range of services centered around three core offerings: Antitrust &amp; Competition Economics, Financial Economics and International Arbitration.</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Our </w:t>
      </w:r>
      <w:r>
        <w:rPr>
          <w:rFonts w:ascii="Times New Roman;serif" w:hAnsi="Times New Roman;serif"/>
          <w:b/>
          <w:color w:val="000000"/>
          <w:sz w:val="20"/>
        </w:rPr>
        <w:t>Technology</w:t>
      </w:r>
      <w:r>
        <w:rPr>
          <w:color w:val="000000"/>
        </w:rPr>
        <w:t xml:space="preserve"> </w:t>
      </w:r>
      <w:r>
        <w:rPr>
          <w:rFonts w:ascii="Times New Roman;serif" w:hAnsi="Times New Roman;serif"/>
          <w:b w:val="false"/>
          <w:color w:val="000000"/>
          <w:sz w:val="20"/>
        </w:rPr>
        <w:t>segment provides companies, law firms, private equity firms and government entities with a comprehensive global portfolio of digital insights and risk management, artificial intelligence (“AI”) and data services. Our professionals help organizations better address risk as the growing volume and variety of enterprise and emerging data intersects with legal, regulatory and compliance needs. We deliver a wide range of expert and AI-powered solutions driven by five core client needs: Blockchain &amp; Digital Assets, Information Governance, Privacy &amp; Security, Investigations, Litigation, and M&amp;A, Antitrust and Competition.</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Our </w:t>
      </w:r>
      <w:r>
        <w:rPr>
          <w:rFonts w:ascii="Times New Roman;serif" w:hAnsi="Times New Roman;serif"/>
          <w:b/>
          <w:color w:val="000000"/>
          <w:sz w:val="20"/>
        </w:rPr>
        <w:t>Strategic Communications</w:t>
      </w:r>
      <w:r>
        <w:rPr>
          <w:color w:val="000000"/>
        </w:rPr>
        <w:t xml:space="preserve"> </w:t>
      </w:r>
      <w:r>
        <w:rPr>
          <w:rFonts w:ascii="Times New Roman;serif" w:hAnsi="Times New Roman;serif"/>
          <w:b w:val="false"/>
          <w:color w:val="000000"/>
          <w:sz w:val="20"/>
        </w:rPr>
        <w:t>segment develops and executes communications strategies to help management teams, boards of directors, law firms, governments and regulators manage change and mitigate risk surrounding transformational and disruptive events, including crises, transactions, investigations, disputes, regulation and legislation. We deliver a wide range of services centered around three core offerings: Corporate Reputation, Financial Communications and Public Affairs.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derive substantially all of our revenues from providing professional services to both U.S. and international clients. Most of our services are rendered under time and expense contract arrangements, which require the client to pay us based on the number of hours worked at contractually agreed-upon rates. Under this arrangement, we typically bill our clients for reimbursable expenses, including those relating to travel, out-of-pocket expenses, outside consultants and other outside service costs. Certain contracts are rendered under fixed-fee arrangements, which require the client to pay a fixed-fee in exchange for a predetermined set of professional services. Fixed-fee arrangements may require certain clients to pay us a recurring retainer. Our contract arrangements may also contain success fees or performance-based arrangements in which our fees are based on the attainment of contractually defined objectives with our client. This type of success fee may supplement a time and expense or fixed-fee arrangement. Success fees and other contractual terms may cause variations in our revenues and operating results due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 the timing of when achieving the performance-based criteria becomes probable. Seasonal factors, such as the timing of our employees’ and clients’ vacations and holidays, may impact the timing of our revenue recognition across our segments.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our Technology segment, certain clients are billed based on the amount of data storage used or the volume of information processed. Unit-based revenues are defined as revenues billed on a per item, per page or another unit-based method and include revenues from data processing and hosting. Unit-based revenues include revenues associated with licensed software products made available to customers via a web browser (“on-demand”). On-demand revenues are charged on a unit or monthly basis and include, but are not limited to, processing and review related functions.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financial results are primarily driven by:</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the number, size and type of engagements we secure;</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the number of billable professionals;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the utilization rates of the billable professionals we employ;</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the rate per hour or fixed charges we charge our clients for services;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the timing of revenue recognition;</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the length of the billing and collection cycles; and</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the geographic locations of our clients or locations in which services are rendered.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define acquisition growth as revenues of acquired companies in the first 12 months following the effective date of an acquisition. When significant, we identify the impact of acquisition-related revenue growth.</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When significant, we identify the estimated impact of foreign currency (“FX”) driven by our businesses with functional currencies other than the U.S. dollar (“USD”). The estimated impact of FX on the period-to-period performance results is calculated as the difference between the prior period results multiplied by the average FX exchange rates to USD in the current period and the prior period results, multiplied by the average FX exchange rates to USD in the prior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accompanying analysis of financial information, we sometimes use information derived from consolidated and segment financial information that may not be presented in our financial statements or prepared in accordance with generally accepted accounting principles in the U.S. (“GAAP”). Certain of these financial measures are considered not in conformity with GAAP (“non-GAAP financial measures”) under the SEC rules. Specifically, we have referred to the following non-GAAP financial measures: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Total Segment Operating Income</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Adjusted Segment EBITDA</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Total Adjusted Segment EBITDA</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Adjusted EBITDA</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Adjusted EBITDA Margin</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Adjusted Net Income</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Adjusted Earnings per Diluted Share</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Free Cash Flow</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included the definition of Segment Operating Income, which is a GAAP financial measure, below in order to more fully define the components of certain non-GAAP financial measures in the accompanying analysis of financial information.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Segment Operating Income as a segment’s share of consolidated operating income. We define Total Segment Operating Income, which is a non-GAAP financial measure, as the total of Segment Operating Income for all segments, which excludes unallocated corporate expenses. We use Segment Operating Income for the purpose of calculating Adjusted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EBITDA, which is a non-GAAP financial measure. We define Adjusted Segment EBITDA as Segment Operating Income before depreciation, amortization of intangible assets, remeasurement of acquisition-related contingent consideration, special charges and goodwill impairment charges. We use Adjusted Segment EBITDA as a basis to internally evaluate the financial performance of our segments because we believe it reflects core operating performance and provides an indicator of the segment’s ability to generate cash. We define Total Adjusted Segment EBITDA, which is a non-GAAP financial measure, as the total of Adjusted Segment EBITDA for all segments, which excludes unallocated corporate expenses.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define Adjusted EBITDA, which is a non-GAAP financial measure, as consolidated net income before income tax provision, other non-operating income (expense), depreciation, amortization of intangible assets, remeasurement of acquisition-related contingent consideration, special charges, goodwill impairment charges, gain or loss on sale of a business, losses on early extinguishment of debt and Extraordinary Litigation-Related Expenses (as defined below). We define Adjusted EBITDA Margin, which is a non-GAAP financial measure, as Adjusted EBITDA as a percentage of total revenues. We believe that these non-GAAP financial measures, when considered together with our GAAP financial results and GAAP financial measures, provide management and investors with a more complete understanding of our operating results, including underlying trends. Many of our competitors use common alternative measures of operating performance. Non-GAAP financial measures are used by investors, financial analysts, rating agencies and others to value and compare the financial performance of companies in our industry. Therefore, we also believe that our non-GAAP financial measures, considered along with corresponding GAAP financial measures, provide management and investors with useful supplemental information.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define Adjusted Net Income and Adjusted Earnings per Diluted Share (“Adjusted EPS”), which are non-GAAP financial measures, as net income and earnings per diluted share (“EPS”), respectively, excluding the impact of remeasurement of acquisition-related contingent consideration, special charges, goodwill impairment charges, the gain or loss on sale of a business, losses on early extinguishment of debt and Extraordinary Litigation-Related Expenses (as defined below). We use Adjusted Net Income for the purpose of calculating Adjusted EPS. Management uses Adjusted EPS to assess total Company operating performance on a consistent basis. We believe that these non-GAAP financial measures, when considered together with our GAAP financial results and GAAP financial measures, provide management and investors with useful supplemental information on our business operating results, including underlying trends.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define Free Cash Flow, which is a non-GAAP financial measure, as net cash used in operating activities less cash payments for purchases of property and equipment. We believe this non-GAAP financial measure, when considered together with our GAAP financial results, provides management and investors with useful supplemental information on the Company’s ability to generate cash for ongoing business operations and capital deployment.</w:t>
      </w:r>
    </w:p>
    <w:p>
      <w:pPr>
        <w:pStyle w:val="TextBody"/>
        <w:bidi w:val="0"/>
        <w:spacing w:lineRule="auto" w:line="288" w:before="0" w:after="180"/>
        <w:ind w:left="0" w:right="0" w:firstLine="540"/>
        <w:jc w:val="left"/>
        <w:rPr>
          <w:color w:val="000000"/>
        </w:rPr>
      </w:pPr>
      <w:r>
        <w:rPr>
          <w:color w:val="000000"/>
        </w:rPr>
        <w:t>“</w:t>
      </w:r>
      <w:r>
        <w:rPr>
          <w:rFonts w:ascii="Times New Roman;serif" w:hAnsi="Times New Roman;serif"/>
          <w:b w:val="false"/>
          <w:color w:val="000000"/>
          <w:sz w:val="20"/>
        </w:rPr>
        <w:t>Extraordinary Litigation-Related Expenses” represent expenses related to the Company’s litigation in the case captioned FTI Consulting, Inc. et al., v. Jonathan M. Orszag et al., 8:23-cv-03200-BAH-AAQ (D.Md.) (together with ancillary proceedings, “FTI vs. Orszag, et al”). In May 2026, the United States District Court for the District of Maryland (the “Court”) allowed the Company to file a third amended complaint to an existing proceeding against Jonathan Orszag, adding Econic Partners LLC, a competitor of the Company, and Dr. Mark Israel, a former Company employee, as defendants. The third amended complaint also added additional claims, including for theft of Company trade secrets and conspiracy to unlawfully compete. This litigation was originally filed in November 2023 against Mr. Orszag, a former Company employee, to enforce the terms of his employment agreement. As a result of the Court’s allowance of the third amended complaint, in the Company’s judgment, beginning in the second quarter of 2026, FTI vs Orszag, et al became non-recurring and outside of the ordinary course of business based on the following considerations: (i) the magnitude of the proceedings, (ii) the complexity of the proceedings, (iii) the counterparties involved and (iv) the Company’s overall litigation strategy. No non-GAAP financial measures for prior periods presented have been adjusted for litigation expenses related to FTI vs. Orszag, et al because the proceedings did not become extraordinary until the second quarter of 2026.</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Non-GAAP financial measures are not defined in the same manner by all companies and may not be comparable with other similarly titled measures of other companies. Non-GAAP financial measures should be considered in addition to, but not as a substitute for or superior to, the information contained in our Condensed Consolidated Statements of Comprehensive Income and Condensed Consolidated Statements of Cash Flows. Reconciliations of these non-GAAP financial measures to the most directly comparable GAAP financial measures are included elsewhere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EXECUTIVE HIGHLIGHTS</w:t>
      </w:r>
    </w:p>
    <w:tbl>
      <w:tblPr>
        <w:tblW w:w="10205" w:type="dxa"/>
        <w:jc w:val="left"/>
        <w:tblInd w:w="0" w:type="dxa"/>
        <w:tblLayout w:type="fixed"/>
        <w:tblCellMar>
          <w:top w:w="28" w:type="dxa"/>
          <w:left w:w="28" w:type="dxa"/>
          <w:bottom w:w="28" w:type="dxa"/>
          <w:right w:w="28" w:type="dxa"/>
        </w:tblCellMar>
      </w:tblPr>
      <w:tblGrid>
        <w:gridCol w:w="1079"/>
        <w:gridCol w:w="919"/>
        <w:gridCol w:w="925"/>
        <w:gridCol w:w="273"/>
        <w:gridCol w:w="1071"/>
        <w:gridCol w:w="140"/>
        <w:gridCol w:w="140"/>
        <w:gridCol w:w="140"/>
        <w:gridCol w:w="140"/>
        <w:gridCol w:w="273"/>
        <w:gridCol w:w="1071"/>
        <w:gridCol w:w="140"/>
        <w:gridCol w:w="109"/>
        <w:gridCol w:w="109"/>
        <w:gridCol w:w="109"/>
        <w:gridCol w:w="253"/>
        <w:gridCol w:w="1172"/>
        <w:gridCol w:w="130"/>
        <w:gridCol w:w="130"/>
        <w:gridCol w:w="130"/>
        <w:gridCol w:w="130"/>
        <w:gridCol w:w="253"/>
        <w:gridCol w:w="1172"/>
        <w:gridCol w:w="197"/>
      </w:tblGrid>
      <w:tr>
        <w:trPr/>
        <w:tc>
          <w:tcPr>
            <w:tcW w:w="107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92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3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92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3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 amounts 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 amounts in thousands, except per share data)</w:t>
            </w:r>
          </w:p>
        </w:tc>
      </w:tr>
      <w:tr>
        <w:trPr/>
        <w:tc>
          <w:tcPr>
            <w:tcW w:w="2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993,464 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943,662 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1,976,809 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1,841,944 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Special charges </w:t>
            </w:r>
            <w:r>
              <w:rPr>
                <w:rFonts w:ascii="Times New Roman;serif" w:hAnsi="Times New Roman;serif"/>
                <w:b w:val="false"/>
                <w:color w:val="000000"/>
                <w:sz w:val="13"/>
              </w:rPr>
              <w:t>(1)</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71,698 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115,441 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133,522 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104,462 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111,640 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201,280 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226,804 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EPS</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EPS</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152,294 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55,693 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(157,729)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(409,517)</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number of employees</w:t>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Excluded from non-GAAP financial measures, including Adjusted EBITDA and Adjusted EPS.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Second Quarter 2026 Executive Highlights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Revenues for the three months ended June 30, 2026 increased $49.8 million, or 5.3%, compared to the three months ended June 30, 2025, primarily due to higher revenues in our Corporate Finance, Technology and FLC segments, which was partially offset by a $9.2 million decline in pass-through revenues.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Net income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income for the three months ended June 30, 2026 decreased $13.9 million, or 19.4%, compared to the three months ended June 30, 2025. The decrease in net income was primarily due to higher direct costs, selling, general and administrative (“SG&amp;A”) expenses and interest expense, which was partially offset by the increase in revenues and a lower income tax provision compared to the same quarter in the prior year.</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Adjusted EBITDA</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for the three months ended June 30, 2026 decreased $7.2 million, or 6.4%, compared to the three months ended June 30, 2025. Adjusted EBITDA Margin of 10.5% for the three months ended June 30, 2026 compared to 11.8% for the three months ended June 30, 2025. The decrease in Adjusted EBITDA was primarily due to higher direct costs and SG&amp;A expenses, excluding $6.6 million of Extraordinary Litigation-Related Expenses during the three months ended June 30, 2026, which was partially offset by the increase in revenues compared to the same quarter in the prior year.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EPS and Adjusted EPS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EPS for the three months ended June 30, 2026 decreased $0.14 to $1.99 compared to $2.13 for the three months ended June 30, 2025. The decrease in EPS was primarily due to the decrease in net income as described above, which was partially offset by the favorable impact of lower weighted average shares outstanding.</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Adjusted EPS for the three months ended June 30, 2026 increased $0.03 to $2.16 compared to $2.13 for the three months ended June 30, 2025. Adjusted EPS for the three months ended June 30, 2026 excludes the $6.6 million of Extraordinary Litigation-Related Expenses, which increased Adjusted EPS by $0.17. Adjusted EPS was equal to EPS for the three months ended June 30, 2025.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Liquidity and Capital Allocation</w:t>
      </w:r>
    </w:p>
    <w:p>
      <w:pPr>
        <w:pStyle w:val="TextBody"/>
        <w:bidi w:val="0"/>
        <w:spacing w:lineRule="auto" w:line="288" w:before="0" w:after="180"/>
        <w:ind w:left="0" w:right="0" w:firstLine="540"/>
        <w:jc w:val="left"/>
        <w:rPr/>
      </w:pPr>
      <w:r>
        <w:rPr>
          <w:rFonts w:ascii="Times New Roman;serif" w:hAnsi="Times New Roman;serif"/>
          <w:b w:val="false"/>
          <w:color w:val="000000"/>
          <w:sz w:val="20"/>
          <w:shd w:fill="FFFFFF" w:val="clear"/>
        </w:rPr>
        <w:t xml:space="preserve">Net </w:t>
      </w:r>
      <w:r>
        <w:rPr>
          <w:rFonts w:ascii="Times New Roman;serif" w:hAnsi="Times New Roman;serif"/>
          <w:b w:val="false"/>
          <w:color w:val="000000"/>
          <w:sz w:val="20"/>
        </w:rPr>
        <w:t>cash provided by ope</w:t>
      </w:r>
      <w:r>
        <w:rPr>
          <w:rFonts w:ascii="Times New Roman;serif" w:hAnsi="Times New Roman;serif"/>
          <w:b w:val="false"/>
          <w:color w:val="000000"/>
          <w:sz w:val="20"/>
          <w:shd w:fill="FFFFFF" w:val="clear"/>
        </w:rPr>
        <w:t>rating activities for the three months ended June 30, 2026</w:t>
      </w:r>
      <w:r>
        <w:rPr>
          <w:color w:val="000000"/>
        </w:rPr>
        <w:t xml:space="preserve"> </w:t>
      </w:r>
      <w:r>
        <w:rPr>
          <w:rFonts w:ascii="Times New Roman;serif" w:hAnsi="Times New Roman;serif"/>
          <w:b w:val="false"/>
          <w:color w:val="000000"/>
          <w:sz w:val="20"/>
        </w:rPr>
        <w:t>increased $96.6 million, or 173.5%, to $152.3 million compared to $55.7 million for the three months ended June 30, 2025. The increase in net cash provided by operating activities was primarily due to higher cash collections and decreases in forgivable loan issuances and income tax payments, which was partially offset by an increase in operating expense and compensation payments. Days sales outstanding (“DSO”) of 99 days at June 30, 2026 compared to 100 days at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Free Cash Flow was an inflow of $141.0 million and $38.3 million for the three months ended June 30, 2026 and 2025, respectively. The increase in Free Cash Flow was primarily due to higher net cash provided by operating activities, as described above.</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During the </w:t>
      </w:r>
      <w:r>
        <w:rPr>
          <w:rFonts w:ascii="Times New Roman;serif" w:hAnsi="Times New Roman;serif"/>
          <w:b w:val="false"/>
          <w:color w:val="000000"/>
          <w:sz w:val="20"/>
          <w:shd w:fill="FFFFFF" w:val="clear"/>
        </w:rPr>
        <w:t>three months ended June 30, 2026</w:t>
      </w:r>
      <w:r>
        <w:rPr>
          <w:rFonts w:ascii="Times New Roman;serif" w:hAnsi="Times New Roman;serif"/>
          <w:b w:val="false"/>
          <w:color w:val="000000"/>
          <w:sz w:val="20"/>
        </w:rPr>
        <w:t>, we made $393.2 million in payments for common stock repurchases, including excise tax, under the Repurchase Program.</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Headcount</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includes the net headcount additions (reductions) by segment and in total for the six months ended June 30, 2026.</w:t>
      </w:r>
    </w:p>
    <w:tbl>
      <w:tblPr>
        <w:tblW w:w="10830" w:type="dxa"/>
        <w:jc w:val="left"/>
        <w:tblInd w:w="0" w:type="dxa"/>
        <w:tblLayout w:type="fixed"/>
        <w:tblCellMar>
          <w:top w:w="28" w:type="dxa"/>
          <w:left w:w="28" w:type="dxa"/>
          <w:bottom w:w="28" w:type="dxa"/>
          <w:right w:w="28" w:type="dxa"/>
        </w:tblCellMar>
      </w:tblPr>
      <w:tblGrid>
        <w:gridCol w:w="502"/>
        <w:gridCol w:w="296"/>
        <w:gridCol w:w="298"/>
        <w:gridCol w:w="109"/>
        <w:gridCol w:w="109"/>
        <w:gridCol w:w="109"/>
        <w:gridCol w:w="290"/>
        <w:gridCol w:w="290"/>
        <w:gridCol w:w="291"/>
        <w:gridCol w:w="109"/>
        <w:gridCol w:w="109"/>
        <w:gridCol w:w="109"/>
        <w:gridCol w:w="189"/>
        <w:gridCol w:w="189"/>
        <w:gridCol w:w="193"/>
        <w:gridCol w:w="109"/>
        <w:gridCol w:w="109"/>
        <w:gridCol w:w="109"/>
        <w:gridCol w:w="295"/>
        <w:gridCol w:w="295"/>
        <w:gridCol w:w="296"/>
        <w:gridCol w:w="109"/>
        <w:gridCol w:w="109"/>
        <w:gridCol w:w="109"/>
        <w:gridCol w:w="315"/>
        <w:gridCol w:w="315"/>
        <w:gridCol w:w="316"/>
        <w:gridCol w:w="109"/>
        <w:gridCol w:w="109"/>
        <w:gridCol w:w="109"/>
        <w:gridCol w:w="440"/>
        <w:gridCol w:w="440"/>
        <w:gridCol w:w="441"/>
        <w:gridCol w:w="109"/>
        <w:gridCol w:w="109"/>
        <w:gridCol w:w="109"/>
        <w:gridCol w:w="189"/>
        <w:gridCol w:w="189"/>
        <w:gridCol w:w="193"/>
        <w:gridCol w:w="109"/>
        <w:gridCol w:w="109"/>
        <w:gridCol w:w="109"/>
        <w:gridCol w:w="335"/>
        <w:gridCol w:w="335"/>
        <w:gridCol w:w="336"/>
        <w:gridCol w:w="109"/>
        <w:gridCol w:w="109"/>
        <w:gridCol w:w="109"/>
        <w:gridCol w:w="277"/>
        <w:gridCol w:w="277"/>
        <w:gridCol w:w="392"/>
      </w:tblGrid>
      <w:tr>
        <w:trPr/>
        <w:tc>
          <w:tcPr>
            <w:tcW w:w="50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8"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Billable Headcount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br/>
              <w:t>Finance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Economic Consulting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Technology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Strategic</w:t>
              <w:br/>
              <w:t>Communications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Non-Billable Headcount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Headcount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8,118</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(reductions),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8,170</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(reductions),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8,124</w:t>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change in headcount from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Segment and Consolidated Operating Results:</w:t>
      </w:r>
    </w:p>
    <w:tbl>
      <w:tblPr>
        <w:tblW w:w="9450" w:type="dxa"/>
        <w:jc w:val="left"/>
        <w:tblInd w:w="0" w:type="dxa"/>
        <w:tblLayout w:type="fixed"/>
        <w:tblCellMar>
          <w:top w:w="28" w:type="dxa"/>
          <w:left w:w="28" w:type="dxa"/>
          <w:bottom w:w="28" w:type="dxa"/>
          <w:right w:w="28" w:type="dxa"/>
        </w:tblCellMar>
      </w:tblPr>
      <w:tblGrid>
        <w:gridCol w:w="1226"/>
        <w:gridCol w:w="1073"/>
        <w:gridCol w:w="1090"/>
        <w:gridCol w:w="222"/>
        <w:gridCol w:w="874"/>
        <w:gridCol w:w="115"/>
        <w:gridCol w:w="115"/>
        <w:gridCol w:w="115"/>
        <w:gridCol w:w="115"/>
        <w:gridCol w:w="222"/>
        <w:gridCol w:w="874"/>
        <w:gridCol w:w="118"/>
        <w:gridCol w:w="109"/>
        <w:gridCol w:w="109"/>
        <w:gridCol w:w="109"/>
        <w:gridCol w:w="211"/>
        <w:gridCol w:w="976"/>
        <w:gridCol w:w="109"/>
        <w:gridCol w:w="109"/>
        <w:gridCol w:w="109"/>
        <w:gridCol w:w="109"/>
        <w:gridCol w:w="211"/>
        <w:gridCol w:w="976"/>
        <w:gridCol w:w="154"/>
      </w:tblGrid>
      <w:tr>
        <w:trPr/>
        <w:tc>
          <w:tcPr>
            <w:tcW w:w="1226"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338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21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Finance</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411,399 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FLC </w:t>
            </w:r>
          </w:p>
        </w:tc>
        <w:tc>
          <w:tcPr>
            <w:tcW w:w="109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194,254 </w:t>
            </w:r>
          </w:p>
        </w:tc>
        <w:tc>
          <w:tcPr>
            <w:tcW w:w="1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186,517 </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387,132 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377,119 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Economic Consulting</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371,518 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109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99,017 </w:t>
            </w:r>
          </w:p>
        </w:tc>
        <w:tc>
          <w:tcPr>
            <w:tcW w:w="1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83,599 </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201,340 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180,755 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Communications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99,982 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102,650 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2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993,464 </w:t>
            </w:r>
          </w:p>
        </w:tc>
        <w:tc>
          <w:tcPr>
            <w:tcW w:w="11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943,662 </w:t>
            </w:r>
          </w:p>
        </w:tc>
        <w:tc>
          <w:tcPr>
            <w:tcW w:w="11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1,976,809 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1,841,944 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operating income</w:t>
            </w:r>
          </w:p>
        </w:tc>
        <w:tc>
          <w:tcPr>
            <w:tcW w:w="121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38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Finance</w:t>
            </w:r>
          </w:p>
        </w:tc>
        <w:tc>
          <w:tcPr>
            <w:tcW w:w="222"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82,475 </w:t>
            </w:r>
          </w:p>
        </w:tc>
        <w:tc>
          <w:tcPr>
            <w:tcW w:w="1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78,128 </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167,705 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119,078 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FLC</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29,071 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Economic Consulting</w:t>
            </w:r>
          </w:p>
        </w:tc>
        <w:tc>
          <w:tcPr>
            <w:tcW w:w="109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7,444 </w:t>
            </w:r>
          </w:p>
        </w:tc>
        <w:tc>
          <w:tcPr>
            <w:tcW w:w="1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12,807 </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24,896 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Communications</w:t>
            </w:r>
          </w:p>
        </w:tc>
        <w:tc>
          <w:tcPr>
            <w:tcW w:w="109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17,390 </w:t>
            </w:r>
          </w:p>
        </w:tc>
        <w:tc>
          <w:tcPr>
            <w:tcW w:w="1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17,474 </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38,228 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operating income</w:t>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141,337 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139,040 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expenses</w:t>
            </w:r>
          </w:p>
        </w:tc>
        <w:tc>
          <w:tcPr>
            <w:tcW w:w="109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(56,316)</w:t>
            </w:r>
          </w:p>
        </w:tc>
        <w:tc>
          <w:tcPr>
            <w:tcW w:w="1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(39,776)</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(101,924)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(59,533)</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85,021 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99,264 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21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(11,630)</w:t>
            </w:r>
          </w:p>
        </w:tc>
        <w:tc>
          <w:tcPr>
            <w:tcW w:w="1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(5,257)</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(6,225)</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(12,031)</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(7,325)</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 provision</w:t>
            </w:r>
          </w:p>
        </w:tc>
        <w:tc>
          <w:tcPr>
            <w:tcW w:w="109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72,990 </w:t>
            </w:r>
          </w:p>
        </w:tc>
        <w:tc>
          <w:tcPr>
            <w:tcW w:w="11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91,939 </w:t>
            </w:r>
          </w:p>
        </w:tc>
        <w:tc>
          <w:tcPr>
            <w:tcW w:w="11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151,536 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172,520 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tax provision</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2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57,810 </w:t>
            </w:r>
          </w:p>
        </w:tc>
        <w:tc>
          <w:tcPr>
            <w:tcW w:w="11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71,698 </w:t>
            </w:r>
          </w:p>
        </w:tc>
        <w:tc>
          <w:tcPr>
            <w:tcW w:w="11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115,441 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133,522 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common share — basic</w:t>
            </w:r>
          </w:p>
        </w:tc>
        <w:tc>
          <w:tcPr>
            <w:tcW w:w="2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common share — diluted</w:t>
            </w:r>
          </w:p>
        </w:tc>
        <w:tc>
          <w:tcPr>
            <w:tcW w:w="222" w:type="dxa"/>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15" w:type="dxa"/>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18" w:type="dxa"/>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09" w:type="dxa"/>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54" w:type="dxa"/>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Reconciliation of Net Income to Adjusted EBITDA:</w:t>
      </w:r>
    </w:p>
    <w:tbl>
      <w:tblPr>
        <w:tblW w:w="9434" w:type="dxa"/>
        <w:jc w:val="left"/>
        <w:tblInd w:w="0" w:type="dxa"/>
        <w:tblLayout w:type="fixed"/>
        <w:tblCellMar>
          <w:top w:w="28" w:type="dxa"/>
          <w:left w:w="28" w:type="dxa"/>
          <w:bottom w:w="28" w:type="dxa"/>
          <w:right w:w="28" w:type="dxa"/>
        </w:tblCellMar>
      </w:tblPr>
      <w:tblGrid>
        <w:gridCol w:w="1384"/>
        <w:gridCol w:w="1215"/>
        <w:gridCol w:w="122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384"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4"/>
              <w:jc w:val="left"/>
              <w:rPr/>
            </w:pPr>
            <w:r>
              <w:rPr>
                <w:rFonts w:ascii="Times New Roman;serif" w:hAnsi="Times New Roman;serif"/>
                <w:b w:val="false"/>
                <w:color w:val="000000"/>
                <w:sz w:val="20"/>
              </w:rPr>
              <w:t xml:space="preserve">Extraordinary Litigation-Related Expenses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R</w:t>
      </w:r>
      <w:r>
        <w:rPr>
          <w:rFonts w:ascii="Times New Roman;serif" w:hAnsi="Times New Roman;serif"/>
          <w:b w:val="false"/>
          <w:color w:val="000000"/>
          <w:sz w:val="20"/>
          <w:shd w:fill="FFFFFF" w:val="clear"/>
        </w:rPr>
        <w:t>efer to “Non-GAAP Financial Measures” in Part I, Item 2 of this Quarterly Report on Form 10-Q for our definition of “Extraordinary Litigation-Related Expenses”</w:t>
      </w:r>
      <w:r>
        <w:rPr>
          <w:rFonts w:ascii="Times New Roman;serif" w:hAnsi="Times New Roman;serif"/>
          <w:b w:val="false"/>
          <w:color w:val="000000"/>
          <w:sz w:val="20"/>
        </w:rPr>
        <w: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Reconciliation of Net Income and EPS to Adjusted Net Income and Adjusted EPS:</w:t>
      </w:r>
    </w:p>
    <w:tbl>
      <w:tblPr>
        <w:tblW w:w="10205" w:type="dxa"/>
        <w:jc w:val="left"/>
        <w:tblInd w:w="0" w:type="dxa"/>
        <w:tblLayout w:type="fixed"/>
        <w:tblCellMar>
          <w:top w:w="28" w:type="dxa"/>
          <w:left w:w="28" w:type="dxa"/>
          <w:bottom w:w="28" w:type="dxa"/>
          <w:right w:w="28" w:type="dxa"/>
        </w:tblCellMar>
      </w:tblPr>
      <w:tblGrid>
        <w:gridCol w:w="1704"/>
        <w:gridCol w:w="1401"/>
        <w:gridCol w:w="1337"/>
        <w:gridCol w:w="233"/>
        <w:gridCol w:w="797"/>
        <w:gridCol w:w="120"/>
        <w:gridCol w:w="120"/>
        <w:gridCol w:w="120"/>
        <w:gridCol w:w="120"/>
        <w:gridCol w:w="233"/>
        <w:gridCol w:w="797"/>
        <w:gridCol w:w="120"/>
        <w:gridCol w:w="109"/>
        <w:gridCol w:w="109"/>
        <w:gridCol w:w="109"/>
        <w:gridCol w:w="219"/>
        <w:gridCol w:w="859"/>
        <w:gridCol w:w="113"/>
        <w:gridCol w:w="113"/>
        <w:gridCol w:w="113"/>
        <w:gridCol w:w="113"/>
        <w:gridCol w:w="219"/>
        <w:gridCol w:w="859"/>
        <w:gridCol w:w="168"/>
      </w:tblGrid>
      <w:tr>
        <w:trPr/>
        <w:tc>
          <w:tcPr>
            <w:tcW w:w="1704"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4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4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444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33"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57,810 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71,698 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115,441 </w:t>
            </w:r>
          </w:p>
        </w:tc>
        <w:tc>
          <w:tcPr>
            <w:tcW w:w="1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133,522 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44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w:t>
            </w:r>
          </w:p>
        </w:tc>
        <w:tc>
          <w:tcPr>
            <w:tcW w:w="103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25,295 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impact of special charges</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Extraordinary Litigation-Related Expenses </w:t>
            </w:r>
            <w:r>
              <w:rPr>
                <w:rFonts w:ascii="Times New Roman;serif" w:hAnsi="Times New Roman;serif"/>
                <w:b w:val="false"/>
                <w:color w:val="000000"/>
                <w:sz w:val="13"/>
              </w:rPr>
              <w:t>(1)</w:t>
            </w:r>
          </w:p>
        </w:tc>
        <w:tc>
          <w:tcPr>
            <w:tcW w:w="103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6,623 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6,623 </w:t>
            </w:r>
          </w:p>
        </w:tc>
        <w:tc>
          <w:tcPr>
            <w:tcW w:w="1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Tax impact of Extraordinary Litigation-Related</w:t>
            </w:r>
          </w:p>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Expenses </w:t>
            </w:r>
            <w:r>
              <w:rPr>
                <w:rFonts w:ascii="Times New Roman;serif" w:hAnsi="Times New Roman;serif"/>
                <w:b w:val="false"/>
                <w:color w:val="000000"/>
                <w:sz w:val="13"/>
              </w:rPr>
              <w:t>(1)</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44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w:t>
            </w:r>
          </w:p>
        </w:tc>
        <w:tc>
          <w:tcPr>
            <w:tcW w:w="23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62,739 </w:t>
            </w:r>
          </w:p>
        </w:tc>
        <w:tc>
          <w:tcPr>
            <w:tcW w:w="12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71,698 </w:t>
            </w:r>
          </w:p>
        </w:tc>
        <w:tc>
          <w:tcPr>
            <w:tcW w:w="12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120,370 </w:t>
            </w:r>
          </w:p>
        </w:tc>
        <w:tc>
          <w:tcPr>
            <w:tcW w:w="11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153,018 </w:t>
            </w:r>
          </w:p>
        </w:tc>
        <w:tc>
          <w:tcPr>
            <w:tcW w:w="16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EPS</w:t>
            </w:r>
          </w:p>
        </w:tc>
        <w:tc>
          <w:tcPr>
            <w:tcW w:w="23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6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15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impact of special charges</w:t>
            </w:r>
          </w:p>
        </w:tc>
        <w:tc>
          <w:tcPr>
            <w:tcW w:w="103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Extraordinary Litigation-Related Expenses </w:t>
            </w:r>
            <w:r>
              <w:rPr>
                <w:rFonts w:ascii="Times New Roman;serif" w:hAnsi="Times New Roman;serif"/>
                <w:b w:val="false"/>
                <w:color w:val="000000"/>
                <w:sz w:val="13"/>
              </w:rPr>
              <w:t>(1)</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Tax impact of Extraordinary Litigation-Related</w:t>
            </w:r>
          </w:p>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Expenses </w:t>
            </w:r>
            <w:r>
              <w:rPr>
                <w:rFonts w:ascii="Times New Roman;serif" w:hAnsi="Times New Roman;serif"/>
                <w:b w:val="false"/>
                <w:color w:val="000000"/>
                <w:sz w:val="13"/>
              </w:rPr>
              <w:t>(1)</w:t>
            </w:r>
          </w:p>
        </w:tc>
        <w:tc>
          <w:tcPr>
            <w:tcW w:w="103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EPS</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outstanding — diluted</w:t>
            </w:r>
          </w:p>
        </w:tc>
        <w:tc>
          <w:tcPr>
            <w:tcW w:w="1030" w:type="dxa"/>
            <w:gridSpan w:val="2"/>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29,038 </w:t>
            </w:r>
          </w:p>
        </w:tc>
        <w:tc>
          <w:tcPr>
            <w:tcW w:w="120" w:type="dxa"/>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33,591 </w:t>
            </w:r>
          </w:p>
        </w:tc>
        <w:tc>
          <w:tcPr>
            <w:tcW w:w="120" w:type="dxa"/>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29,680 </w:t>
            </w:r>
          </w:p>
        </w:tc>
        <w:tc>
          <w:tcPr>
            <w:tcW w:w="113" w:type="dxa"/>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34,541 </w:t>
            </w:r>
          </w:p>
        </w:tc>
        <w:tc>
          <w:tcPr>
            <w:tcW w:w="168" w:type="dxa"/>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R</w:t>
      </w:r>
      <w:r>
        <w:rPr>
          <w:rFonts w:ascii="Times New Roman;serif" w:hAnsi="Times New Roman;serif"/>
          <w:b w:val="false"/>
          <w:color w:val="000000"/>
          <w:sz w:val="20"/>
          <w:shd w:fill="FFFFFF" w:val="clear"/>
        </w:rPr>
        <w:t>efer to “Non-GAAP Financial Measures” in Part I, Item 2 of this Quarterly Report on Form 10-Q for our definition of “Extraordinary Litigation-Related Expenses”</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Reconciliation of Net Cash Provided by (Used in) Operating Activities to Free Cash Flow:</w:t>
      </w:r>
    </w:p>
    <w:tbl>
      <w:tblPr>
        <w:tblW w:w="9975" w:type="dxa"/>
        <w:jc w:val="left"/>
        <w:tblInd w:w="0" w:type="dxa"/>
        <w:tblLayout w:type="fixed"/>
        <w:tblCellMar>
          <w:top w:w="28" w:type="dxa"/>
          <w:left w:w="28" w:type="dxa"/>
          <w:bottom w:w="28" w:type="dxa"/>
          <w:right w:w="28" w:type="dxa"/>
        </w:tblCellMar>
      </w:tblPr>
      <w:tblGrid>
        <w:gridCol w:w="1565"/>
        <w:gridCol w:w="1375"/>
        <w:gridCol w:w="1380"/>
        <w:gridCol w:w="211"/>
        <w:gridCol w:w="826"/>
        <w:gridCol w:w="109"/>
        <w:gridCol w:w="109"/>
        <w:gridCol w:w="109"/>
        <w:gridCol w:w="109"/>
        <w:gridCol w:w="211"/>
        <w:gridCol w:w="721"/>
        <w:gridCol w:w="109"/>
        <w:gridCol w:w="109"/>
        <w:gridCol w:w="109"/>
        <w:gridCol w:w="109"/>
        <w:gridCol w:w="211"/>
        <w:gridCol w:w="901"/>
        <w:gridCol w:w="109"/>
        <w:gridCol w:w="109"/>
        <w:gridCol w:w="109"/>
        <w:gridCol w:w="109"/>
        <w:gridCol w:w="211"/>
        <w:gridCol w:w="901"/>
        <w:gridCol w:w="154"/>
      </w:tblGrid>
      <w:tr>
        <w:trPr/>
        <w:tc>
          <w:tcPr>
            <w:tcW w:w="156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32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operating activities</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152,294 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55,693 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(157,729)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(409,517)</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Free Cash Flow</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141,027 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38,268 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(179,614)</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(444,745)</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Three Months Ended June 30, 2026 Compared to Three Months Ended June 30, 2025</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Revenues and operating income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See “Segment Results” for an expanded discussion of revenues, gross profit and SG&amp;A expenses.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Unallocated corporate expenses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expenses increased $16.5 million, or 41.6%, to $56.3 million compared to $39.8 million for the three months ended June 30, 2025, primarily due to $6.6 million in Extraordinary Litigation-Related Expenses, an increase in expenses related to our All SMD meeting, which did not occur in 2025, and higher compensation expenses.</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Interest income and other</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Interest income and other, which includes FX gains and losses, increased $1.7 million to a $0.4 million loss for the three months ended June 30, 2026 compared to a $2.1 million loss for the three months ended June 30, 2025, primarily due to a $1.5 million decrease in FX remeasurement losses compared to the same quarter in the prior year.</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FX gains and losses, both realized and unrealized, relate to the remeasurement or settlement of monetary assets and liabilities that are denominated in a currency other than an entity’s functional currency. These monetary assets and liabilities include cash, as well as third-party and intercompany receivables and payables.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Interest expense increased $6.4 million, or 121.2%, to $11.6 million for the three months ended June 30, 2026 compared to $5.3 million for the three months ended June 30, 2025, primarily due to higher borrowings on the $300.0 million term loan under our Credit Agreement (the "Incremental Term Loan") and our senior unsecured bank revolving credit facility (the “Revolving Credit Facility”).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Income tax provision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income tax provision decreased $5.1 million, or 25.0%, to $15.2 million for the three months ended June 30, 2026 compared to $20.2 million for the three months ended June 30, 2025. Our effective tax rate of 20.8% for the three months ended June 30, 2026 compared to 22.0% for the three months ended June 30, 2025. The decrease in the income tax provision was due to both a decrease in income before income tax provision and a lower effective tax rate. The lower effective tax rate was primarily due to the net tax benefits associated with our tax equity investment, which was partially offset by an unfavorable impact from share-based compensation and an increase in the valuation allowance recorded against current period losses as compared to the three months ended June 30, 2025.</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Six Months Ended June 30, 2026 Compared to Six Months Ended June 30, 2025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Revenues and operating income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See “Segment Results” for an expanded discussion of revenues, gross profit and SG&amp;A expenses.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Unallocated corporate expenses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expenses increased $42.4 million, or 71.2%, to $101.9 million compared to $59.5 million for the six months ended June 30, 2025, primarily due to a legal settlement gain recorded during the six months ended June 30, 2025 that did not recur, higher compensation expenses, $6.6 million in Extraordinary Litigation-Related Expenses incurred during the three months ended June 30, 2026, and higher expenses related to our All SMD meeting, which did not occur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i/>
          <w:color w:val="000000"/>
          <w:sz w:val="20"/>
          <w:shd w:fill="FFFFFF" w:val="clear"/>
        </w:rPr>
        <w:t xml:space="preserve">Interest income and </w:t>
      </w:r>
      <w:r>
        <w:rPr>
          <w:rFonts w:ascii="Times New Roman;serif" w:hAnsi="Times New Roman;serif"/>
          <w:b/>
          <w:i/>
          <w:color w:val="000000"/>
          <w:sz w:val="20"/>
        </w:rPr>
        <w:t>other</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Interest income and other, which includes FX gains and losses, decreased $0.1 million to a $0.7 million gain for the six months ended June 30, 2026 compared to a $0.8 million gain for the six months ended June 30, 2025, primarily due to a $3.0 million decrease in interest income, which was partially offset by a $2.8 million decrease in FX remeasurement losses compared to the same period in the prior year.</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Interest expense increased $11.9 million, or 190.4%, to $18.1 million for the six months ended June 30, 2026 compared to $6.2 million for the six months ended June 30, 2025, primarily due to higher borrowings on our Revolving Credit Facility and Incremental Term Loan.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Income tax provision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income tax provision decreased $2.9 million, or 7.4%, to $36.1 million for the six months ended June 30, 2026 compared to $39.0 million for the six months ended June 30, 2025. Our effective tax rate of 23.8% for the six months ended June 30, 2026 compared to 22.6% for the six months ended June 30, 2025. The decrease in the income tax provision was primarily due to a decrease in income before income tax provision, which was partially offset by an increase in the effective tax rate. The higher effective tax rate was primarily due to an unfavorable impact from share-based compensation and an increase in the valuation allowance recorded against current period losses, which was partially offset by the net tax benefits related to our tax equity investment, as compared to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SEGMENT RESULTS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Adjusted Segment EBITDA</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evaluate the performance of each of our operating segments based on multiple measures of segment profit, including Adjusted Segment EBITDA, which is a non-GAAP financial measure. The following tables reconcile Segment Operating Income to Adjusted Segment EBITDA for the three and six months ended June 30, 2026 and 2025:</w:t>
      </w:r>
    </w:p>
    <w:tbl>
      <w:tblPr>
        <w:tblW w:w="10962" w:type="dxa"/>
        <w:jc w:val="left"/>
        <w:tblInd w:w="0" w:type="dxa"/>
        <w:tblLayout w:type="fixed"/>
        <w:tblCellMar>
          <w:top w:w="28" w:type="dxa"/>
          <w:left w:w="28" w:type="dxa"/>
          <w:bottom w:w="28" w:type="dxa"/>
          <w:right w:w="28" w:type="dxa"/>
        </w:tblCellMar>
      </w:tblPr>
      <w:tblGrid>
        <w:gridCol w:w="959"/>
        <w:gridCol w:w="210"/>
        <w:gridCol w:w="212"/>
        <w:gridCol w:w="109"/>
        <w:gridCol w:w="109"/>
        <w:gridCol w:w="109"/>
        <w:gridCol w:w="196"/>
        <w:gridCol w:w="736"/>
        <w:gridCol w:w="109"/>
        <w:gridCol w:w="109"/>
        <w:gridCol w:w="109"/>
        <w:gridCol w:w="109"/>
        <w:gridCol w:w="196"/>
        <w:gridCol w:w="646"/>
        <w:gridCol w:w="109"/>
        <w:gridCol w:w="109"/>
        <w:gridCol w:w="109"/>
        <w:gridCol w:w="109"/>
        <w:gridCol w:w="201"/>
        <w:gridCol w:w="572"/>
        <w:gridCol w:w="113"/>
        <w:gridCol w:w="109"/>
        <w:gridCol w:w="109"/>
        <w:gridCol w:w="109"/>
        <w:gridCol w:w="196"/>
        <w:gridCol w:w="646"/>
        <w:gridCol w:w="109"/>
        <w:gridCol w:w="109"/>
        <w:gridCol w:w="109"/>
        <w:gridCol w:w="109"/>
        <w:gridCol w:w="272"/>
        <w:gridCol w:w="897"/>
        <w:gridCol w:w="152"/>
        <w:gridCol w:w="109"/>
        <w:gridCol w:w="109"/>
        <w:gridCol w:w="109"/>
        <w:gridCol w:w="196"/>
        <w:gridCol w:w="751"/>
        <w:gridCol w:w="109"/>
        <w:gridCol w:w="109"/>
        <w:gridCol w:w="109"/>
        <w:gridCol w:w="109"/>
        <w:gridCol w:w="196"/>
        <w:gridCol w:w="736"/>
        <w:gridCol w:w="154"/>
      </w:tblGrid>
      <w:tr>
        <w:trPr/>
        <w:tc>
          <w:tcPr>
            <w:tcW w:w="95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Finance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Economic Consulting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Strategic Communications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Unallocated 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17,390 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Extraordinary Litigation-Related</w:t>
            </w:r>
          </w:p>
          <w:p>
            <w:pPr>
              <w:pStyle w:val="TableContents"/>
              <w:bidi w:val="0"/>
              <w:spacing w:lineRule="auto" w:line="240" w:before="0" w:after="0"/>
              <w:jc w:val="left"/>
              <w:rPr/>
            </w:pPr>
            <w:r>
              <w:rPr>
                <w:color w:val="000000"/>
              </w:rPr>
              <w:t>   </w:t>
            </w:r>
            <w:r>
              <w:rPr>
                <w:rFonts w:ascii="Times New Roman;serif" w:hAnsi="Times New Roman;serif"/>
                <w:b w:val="false"/>
                <w:color w:val="000000"/>
                <w:sz w:val="18"/>
              </w:rPr>
              <w:t xml:space="preserve">Expenses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18,497 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Finance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Economic Consulting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Strategic Communications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Unallocated 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38,228 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168,938 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Extraordinary Litigation-Related</w:t>
            </w:r>
          </w:p>
          <w:p>
            <w:pPr>
              <w:pStyle w:val="TableContents"/>
              <w:bidi w:val="0"/>
              <w:spacing w:lineRule="auto" w:line="240" w:before="0" w:after="0"/>
              <w:jc w:val="left"/>
              <w:rPr/>
            </w:pPr>
            <w:r>
              <w:rPr>
                <w:color w:val="000000"/>
              </w:rPr>
              <w:t>   </w:t>
            </w:r>
            <w:r>
              <w:rPr>
                <w:rFonts w:ascii="Times New Roman;serif" w:hAnsi="Times New Roman;serif"/>
                <w:b w:val="false"/>
                <w:color w:val="000000"/>
                <w:sz w:val="18"/>
              </w:rPr>
              <w:t xml:space="preserve">Expenses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2,922 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40,387 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201,280 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R</w:t>
      </w:r>
      <w:r>
        <w:rPr>
          <w:rFonts w:ascii="Times New Roman;serif" w:hAnsi="Times New Roman;serif"/>
          <w:b w:val="false"/>
          <w:color w:val="000000"/>
          <w:sz w:val="20"/>
          <w:shd w:fill="FFFFFF" w:val="clear"/>
        </w:rPr>
        <w:t>efer to “Non-GAAP Financial Measures” in Part I, Item 2 of this Quarterly Report on Form 10-Q for our definition of “Extraordinary Litigation-Related Expenses”</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tbl>
      <w:tblPr>
        <w:tblW w:w="10617" w:type="dxa"/>
        <w:jc w:val="left"/>
        <w:tblInd w:w="0" w:type="dxa"/>
        <w:tblLayout w:type="fixed"/>
        <w:tblCellMar>
          <w:top w:w="28" w:type="dxa"/>
          <w:left w:w="28" w:type="dxa"/>
          <w:bottom w:w="28" w:type="dxa"/>
          <w:right w:w="28" w:type="dxa"/>
        </w:tblCellMar>
      </w:tblPr>
      <w:tblGrid>
        <w:gridCol w:w="629"/>
        <w:gridCol w:w="210"/>
        <w:gridCol w:w="212"/>
        <w:gridCol w:w="109"/>
        <w:gridCol w:w="109"/>
        <w:gridCol w:w="109"/>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72"/>
        <w:gridCol w:w="897"/>
        <w:gridCol w:w="152"/>
        <w:gridCol w:w="109"/>
        <w:gridCol w:w="109"/>
        <w:gridCol w:w="109"/>
        <w:gridCol w:w="196"/>
        <w:gridCol w:w="671"/>
        <w:gridCol w:w="109"/>
        <w:gridCol w:w="109"/>
        <w:gridCol w:w="109"/>
        <w:gridCol w:w="109"/>
        <w:gridCol w:w="196"/>
        <w:gridCol w:w="736"/>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Finance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Economic Consulting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Strategic Communications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Unallocated 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17,474 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18,481 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Finance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Economic Consulting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Strategic Communications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Unallocated 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133,522 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26,199 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Special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31,384 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226,804 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Total Adjusted Segment EBITDA</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define Total Adjusted Segment EBITDA, which is a non-GAAP financial measure, as the total of Adjusted Segment EBITDA for all segments, which excludes unallocated corporate expenses. The following table reconciles net income to Total Segment Operating Income and Total Adjusted Segment EBITDA for the three and six months ended June 30, 2026 and 2025:</w:t>
      </w:r>
    </w:p>
    <w:tbl>
      <w:tblPr>
        <w:tblW w:w="8534" w:type="dxa"/>
        <w:jc w:val="left"/>
        <w:tblInd w:w="0" w:type="dxa"/>
        <w:tblLayout w:type="fixed"/>
        <w:tblCellMar>
          <w:top w:w="28" w:type="dxa"/>
          <w:left w:w="28" w:type="dxa"/>
          <w:bottom w:w="28" w:type="dxa"/>
          <w:right w:w="28" w:type="dxa"/>
        </w:tblCellMar>
      </w:tblPr>
      <w:tblGrid>
        <w:gridCol w:w="1058"/>
        <w:gridCol w:w="929"/>
        <w:gridCol w:w="93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05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92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71,698 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115,441 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133,522 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36,095 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38,998 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operating income</w:t>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141,337 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139,040 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270,862 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237,504 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depreciation expense</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special charges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Adjusted Segment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283,184 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Other Segment Operating Data </w:t>
      </w:r>
    </w:p>
    <w:tbl>
      <w:tblPr>
        <w:tblW w:w="9060" w:type="dxa"/>
        <w:jc w:val="left"/>
        <w:tblInd w:w="0" w:type="dxa"/>
        <w:tblLayout w:type="fixed"/>
        <w:tblCellMar>
          <w:top w:w="28" w:type="dxa"/>
          <w:left w:w="28" w:type="dxa"/>
          <w:bottom w:w="28" w:type="dxa"/>
          <w:right w:w="28" w:type="dxa"/>
        </w:tblCellMar>
      </w:tblPr>
      <w:tblGrid>
        <w:gridCol w:w="1522"/>
        <w:gridCol w:w="1337"/>
        <w:gridCol w:w="1341"/>
        <w:gridCol w:w="215"/>
        <w:gridCol w:w="475"/>
        <w:gridCol w:w="276"/>
        <w:gridCol w:w="111"/>
        <w:gridCol w:w="111"/>
        <w:gridCol w:w="111"/>
        <w:gridCol w:w="215"/>
        <w:gridCol w:w="475"/>
        <w:gridCol w:w="276"/>
        <w:gridCol w:w="109"/>
        <w:gridCol w:w="109"/>
        <w:gridCol w:w="109"/>
        <w:gridCol w:w="211"/>
        <w:gridCol w:w="466"/>
        <w:gridCol w:w="271"/>
        <w:gridCol w:w="109"/>
        <w:gridCol w:w="109"/>
        <w:gridCol w:w="109"/>
        <w:gridCol w:w="211"/>
        <w:gridCol w:w="466"/>
        <w:gridCol w:w="316"/>
      </w:tblGrid>
      <w:tr>
        <w:trPr/>
        <w:tc>
          <w:tcPr>
            <w:tcW w:w="1522"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Number of billable professionals (at period end):</w:t>
            </w:r>
          </w:p>
        </w:tc>
        <w:tc>
          <w:tcPr>
            <w:tcW w:w="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Finance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FLC</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Economic Consulting</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Technology </w:t>
            </w:r>
            <w:r>
              <w:rPr>
                <w:rFonts w:ascii="Times New Roman;serif" w:hAnsi="Times New Roman;serif"/>
                <w:b w:val="false"/>
                <w:color w:val="000000"/>
                <w:sz w:val="13"/>
              </w:rPr>
              <w:t>(1)</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Communications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billable professionals</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6,409 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6,208 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Utilization rates of billable professionals: </w:t>
            </w:r>
            <w:r>
              <w:rPr>
                <w:rFonts w:ascii="Times New Roman;serif" w:hAnsi="Times New Roman;serif"/>
                <w:b w:val="false"/>
                <w:color w:val="000000"/>
                <w:sz w:val="13"/>
              </w:rPr>
              <w:t>(2)</w:t>
            </w:r>
          </w:p>
        </w:tc>
        <w:tc>
          <w:tcPr>
            <w:tcW w:w="96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Finance</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FLC</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Economic Consulting</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Average billable rate per hour: </w:t>
            </w:r>
            <w:r>
              <w:rPr>
                <w:rFonts w:ascii="Times New Roman;serif" w:hAnsi="Times New Roman;serif"/>
                <w:b w:val="false"/>
                <w:color w:val="000000"/>
                <w:sz w:val="13"/>
              </w:rPr>
              <w:t>(3)</w:t>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Corporate Finance </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FLC</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Economic Consulting</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The number of billable professionals for the Technology segment excludes as-needed professionals, who we employ based on demand for the segment’s services. We employed an average of 755 and 357 as-needed employees during the three months ended June 30, 2026 and 2025, respectively.</w:t>
      </w:r>
    </w:p>
    <w:p>
      <w:pPr>
        <w:pStyle w:val="TextBody"/>
        <w:bidi w:val="0"/>
        <w:spacing w:lineRule="auto" w:line="288" w:before="0" w:after="18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We calculate the utilization rate for our billable professionals by dividing the number of hours that all of our billable professionals worked on client assignments during a period by the total available working hours for all of our billable professionals during the same period. Available hours are determined by the standard hours worked by each employee, adjusted for part-time hours, U.S. standard work weeks and local country holidays. Available working hours include vacation and professional training days, but exclude local country holidays. Utilization rates are presented for our segments that primarily bill clients on an hourly basis. We have not presented utilization rates for our Technology and Strategic Communications segments as most of the revenues of these segments are not generated on an hourly basis.</w:t>
      </w:r>
    </w:p>
    <w:p>
      <w:pPr>
        <w:pStyle w:val="TextBody"/>
        <w:bidi w:val="0"/>
        <w:spacing w:lineRule="auto" w:line="288" w:before="0" w:after="180"/>
        <w:ind w:left="0" w:right="0" w:hanging="720"/>
        <w:jc w:val="left"/>
        <w:rPr/>
      </w:pPr>
      <w:r>
        <w:rPr>
          <w:rFonts w:ascii="Times New Roman;serif" w:hAnsi="Times New Roman;serif"/>
          <w:b w:val="false"/>
          <w:color w:val="000000"/>
          <w:sz w:val="13"/>
        </w:rPr>
        <w:t>(3)</w:t>
      </w:r>
      <w:r>
        <w:rPr>
          <w:rFonts w:ascii="Times New Roman;serif" w:hAnsi="Times New Roman;serif"/>
          <w:b w:val="false"/>
          <w:color w:val="000000"/>
          <w:sz w:val="20"/>
        </w:rPr>
        <w:t>For engagements where revenues are based on number of hours worked by our billable professionals and fixed-fee arrangements, average billable rate per hour is calculated by dividing revenues (excluding revenues from success fees, pass-through revenues and outside consultants) for a period by the number of hours worked on client assignments during the same period. We have not presented average billable rates per hour for our Technology and Strategic Communications segments as most of the revenues of these segments are not based on billable hours.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CORPORATE FINANCE</w:t>
      </w:r>
    </w:p>
    <w:tbl>
      <w:tblPr>
        <w:tblW w:w="10205" w:type="dxa"/>
        <w:jc w:val="left"/>
        <w:tblInd w:w="0" w:type="dxa"/>
        <w:tblLayout w:type="fixed"/>
        <w:tblCellMar>
          <w:top w:w="28" w:type="dxa"/>
          <w:left w:w="28" w:type="dxa"/>
          <w:bottom w:w="28" w:type="dxa"/>
          <w:right w:w="28" w:type="dxa"/>
        </w:tblCellMar>
      </w:tblPr>
      <w:tblGrid>
        <w:gridCol w:w="1332"/>
        <w:gridCol w:w="1055"/>
        <w:gridCol w:w="106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807"/>
      </w:tblGrid>
      <w:tr>
        <w:trPr/>
        <w:tc>
          <w:tcPr>
            <w:tcW w:w="133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r>
      <w:tr>
        <w:trPr/>
        <w:tc>
          <w:tcPr>
            <w:tcW w:w="34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br/>
              <w:t>except rate per hour)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br/>
              <w:t> except rate per hour)</w:t>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411,399 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820,901 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722,884 </w:t>
            </w:r>
          </w:p>
        </w:tc>
        <w:tc>
          <w:tcPr>
            <w:tcW w:w="8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change in revenues from prior year</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532,753 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477,723 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112,912 </w:t>
            </w:r>
          </w:p>
        </w:tc>
        <w:tc>
          <w:tcPr>
            <w:tcW w:w="8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11,696 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8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328,924 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301,111 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653,196 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603,806 </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82,475 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78,128 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167,705 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119,078 </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675"/>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Percentage change in segment operating income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from prior year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6,825 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11,696 </w:t>
            </w:r>
          </w:p>
        </w:tc>
        <w:tc>
          <w:tcPr>
            <w:tcW w:w="8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Segment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85,963 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81,652 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174,613 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137,599 </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Gross profit </w:t>
            </w:r>
            <w:r>
              <w:rPr>
                <w:rFonts w:ascii="Times New Roman;serif" w:hAnsi="Times New Roman;serif"/>
                <w:b w:val="false"/>
                <w:color w:val="000000"/>
                <w:sz w:val="12"/>
              </w:rPr>
              <w:t>(1)</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141,081 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133,088 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288,148 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245,161 </w:t>
            </w:r>
          </w:p>
        </w:tc>
        <w:tc>
          <w:tcPr>
            <w:tcW w:w="80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change in gross profit from prior year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Gross profit margin </w:t>
            </w:r>
            <w:r>
              <w:rPr>
                <w:rFonts w:ascii="Times New Roman;serif" w:hAnsi="Times New Roman;serif"/>
                <w:b w:val="false"/>
                <w:color w:val="000000"/>
                <w:sz w:val="12"/>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Segment EBITDA as a percentage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billable professionals (at period end)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2,188 </w:t>
            </w:r>
          </w:p>
        </w:tc>
        <w:tc>
          <w:tcPr>
            <w:tcW w:w="807" w:type="dxa"/>
            <w:tcBorders/>
            <w:shd w:fill="CCEE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Percentage change in number of billable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professionals from prior year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Utilization rate of billable professionals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billable rate per hour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Revenues less direct cost of revenues</w:t>
      </w:r>
    </w:p>
    <w:p>
      <w:pPr>
        <w:pStyle w:val="TextBody"/>
        <w:bidi w:val="0"/>
        <w:spacing w:lineRule="auto" w:line="288" w:before="0" w:after="18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Gross profit as a percentage of revenues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Three Months Ended June 30, 2026 Compared to Three Months Ended June 30, 2025</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Revenues increased $32.2 million, or 8.5%, to $411.4 million for the three months ended June 30, 2026, primarily due to higher realized bill rates for our transactions, transformation and turnaround &amp; restructuring services, an increase in demand for transformation services, and higher success fees, which was partially offset by lower demand for turnaround &amp; restructuring services.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Gross profit increased $8.0 million, or 6.0%, to $141.1 million for the three months ended June 30, 2026. Gross profit margin decreased 0.8 percentage points for the three months ended June 30, 2026. The decrease in gross profit margin was primarily due to higher compensation as a percentage of revenues, which included the impact of a 7.8% increase in billable headcount and a 2 percentage point decrease in utilization, which was partially offset by higher realized bill rates.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SG&amp;A expenses increased $4.1 million, or 7.6%, to $58.3 million for the three months ended June 30, 2026, primarily due to higher compensation, infrastructure support and other general and administrative expenses, which was partially offset by lower bad debt expenses. SG&amp;A expenses of 14.2% of revenues for the three months ended June 30, 2026 compared to 14.3% of revenues for the three months ended June 30,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Six Months Ended June 30, 2026 Compared to Six Months Ended June 30, 2025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Revenues increased $98.0 million, or 13.6%, to $820.9 million for the six months ended June 30, 2026, primarily due to higher demand and realized bill rates for our transformation, transactions and turnaround &amp; restructuring services. Excluding an estimated 1.6% positive impact from FX, revenues increased $86.3 million, or 11.9%.</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Gross profit increased $43.0 million, or 17.5%, to $288.1 million for the six months ended June 30, 2026. Gross profit margin increased 1.2 percentage points for the six months ended June 30, 2026. The increase in gross profit margin was primarily due to higher realized bill rates and a 1 percentage point increase in utilization.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SG&amp;A expenses increased $6.9 million, or 6.1%, to $119.8 million for the six months ended June 30, 2026, primarily due to higher travel and entertainment, compensation and other general and administrative expenses, which was partially offset by lower bad debt expenses. The increase in SG&amp;A expenses included an estimated 2.0% negative impact from FX. SG&amp;A expenses of 14.6% of revenues for the six months ended June 30, 2026 compared to 15.6% of revenues for the six months ended June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FORENSIC AND LITIGATION CONSULTING</w:t>
      </w:r>
    </w:p>
    <w:tbl>
      <w:tblPr>
        <w:tblW w:w="10205" w:type="dxa"/>
        <w:jc w:val="left"/>
        <w:tblInd w:w="0" w:type="dxa"/>
        <w:tblLayout w:type="fixed"/>
        <w:tblCellMar>
          <w:top w:w="28" w:type="dxa"/>
          <w:left w:w="28" w:type="dxa"/>
          <w:bottom w:w="28" w:type="dxa"/>
          <w:right w:w="28" w:type="dxa"/>
        </w:tblCellMar>
      </w:tblPr>
      <w:tblGrid>
        <w:gridCol w:w="1332"/>
        <w:gridCol w:w="1055"/>
        <w:gridCol w:w="106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807"/>
      </w:tblGrid>
      <w:tr>
        <w:trPr/>
        <w:tc>
          <w:tcPr>
            <w:tcW w:w="133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r>
      <w:tr>
        <w:trPr/>
        <w:tc>
          <w:tcPr>
            <w:tcW w:w="34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(dollars in thousands, </w:t>
              <w:br/>
              <w:t>except rate per hour)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(dollars in thousands, </w:t>
              <w:br/>
              <w:t>except rate per hour)</w:t>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377,119 </w:t>
            </w:r>
          </w:p>
        </w:tc>
        <w:tc>
          <w:tcPr>
            <w:tcW w:w="8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change in revenues from prior year</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238,721 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73,289 </w:t>
            </w:r>
          </w:p>
        </w:tc>
        <w:tc>
          <w:tcPr>
            <w:tcW w:w="8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5,475 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8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165,039 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157,446 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334,832 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317,942 </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29,071 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59,177 </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675"/>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Percentage change in segment operating income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from prior year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4,059 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5,475 </w:t>
            </w:r>
          </w:p>
        </w:tc>
        <w:tc>
          <w:tcPr>
            <w:tcW w:w="8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Segment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31,354 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31,188 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56,618 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68,711 </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Gross profit </w:t>
            </w:r>
            <w:r>
              <w:rPr>
                <w:rFonts w:ascii="Times New Roman;serif" w:hAnsi="Times New Roman;serif"/>
                <w:b w:val="false"/>
                <w:color w:val="000000"/>
                <w:sz w:val="12"/>
              </w:rPr>
              <w:t>(1)</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68,213 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65,757 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133,678 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138,398 </w:t>
            </w:r>
          </w:p>
        </w:tc>
        <w:tc>
          <w:tcPr>
            <w:tcW w:w="80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change in gross profit from prior year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Gross profit margin </w:t>
            </w:r>
            <w:r>
              <w:rPr>
                <w:rFonts w:ascii="Times New Roman;serif" w:hAnsi="Times New Roman;serif"/>
                <w:b w:val="false"/>
                <w:color w:val="000000"/>
                <w:sz w:val="12"/>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Segment EBITDA as a percentage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billable professionals (at period end)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807" w:type="dxa"/>
            <w:tcBorders/>
            <w:shd w:fill="CCEE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Percentage change in number of billable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professionals from prior year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Utilization rate of billable professionals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billable rate per hour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Revenues less direct cost of revenues</w:t>
      </w:r>
    </w:p>
    <w:p>
      <w:pPr>
        <w:pStyle w:val="TextBody"/>
        <w:bidi w:val="0"/>
        <w:spacing w:lineRule="auto" w:line="288" w:before="0" w:after="18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Gross profit as a percentage of revenues</w:t>
      </w:r>
    </w:p>
    <w:p>
      <w:pPr>
        <w:pStyle w:val="TextBody"/>
        <w:bidi w:val="0"/>
        <w:spacing w:lineRule="auto" w:line="288" w:before="0" w:after="180"/>
        <w:ind w:left="0" w:right="0" w:hanging="360"/>
        <w:jc w:val="left"/>
        <w:rPr/>
      </w:pPr>
      <w:r>
        <w:rPr>
          <w:color w:val="000000"/>
        </w:rPr>
        <w:t>    </w:t>
      </w:r>
      <w:r>
        <w:rPr>
          <w:rFonts w:ascii="Times New Roman;serif" w:hAnsi="Times New Roman;serif"/>
          <w:b/>
          <w:color w:val="000000"/>
          <w:sz w:val="20"/>
        </w:rPr>
        <w:t>Three Months Ended June 30, 2026 Compared to Three Months Ended June 30, 2025</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Revenues increased $7.7 million, or 4.1%, to $194.3 million for the three months ended June 30, 2026, primarily due to higher realized bill rates and demand for our risk &amp; investigations services, which was partially offset by lower demand for our dispute advisory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Gross profit increased $2.5 million, or 3.7%, to $68.2 million for the three months ended June 30, 2026. Gross profit margin was relatively flat for the three months ended June 30, 2026, primarily due to a 3 percentage point decrease in utilization, which was offset by higher realized bill rates.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SG&amp;A expenses increased $2.4 million, or 6.4%, to $38.8 million for the three months ended June 30, 2026, primarily due to higher bad debt, compensation and travel and entertainment expenses. SG&amp;A expenses of 20.0% of revenues for the three months ended June 30, 2026 compared to 19.5% of revenues for the three months ended June 30, 2025.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Six Months Ended June 30, 2026 Compared to Six Months Ended June 30, 2025 </w:t>
      </w:r>
    </w:p>
    <w:p>
      <w:pPr>
        <w:pStyle w:val="TextBody"/>
        <w:bidi w:val="0"/>
        <w:spacing w:lineRule="auto" w:line="288" w:before="0" w:after="180"/>
        <w:ind w:left="0" w:right="0" w:firstLine="540"/>
        <w:jc w:val="left"/>
        <w:rPr/>
      </w:pPr>
      <w:r>
        <w:rPr>
          <w:rFonts w:ascii="Times New Roman;serif" w:hAnsi="Times New Roman;serif"/>
          <w:b w:val="false"/>
          <w:color w:val="000000"/>
          <w:sz w:val="20"/>
          <w:shd w:fill="FFFFFF" w:val="clear"/>
        </w:rPr>
        <w:t>Revenues increased $10.0 million, or 2.7%, to $387.1 million for</w:t>
      </w:r>
      <w:r>
        <w:rPr>
          <w:color w:val="000000"/>
        </w:rPr>
        <w:t xml:space="preserve"> </w:t>
      </w:r>
      <w:r>
        <w:rPr>
          <w:rFonts w:ascii="Times New Roman;serif" w:hAnsi="Times New Roman;serif"/>
          <w:b w:val="false"/>
          <w:color w:val="000000"/>
          <w:sz w:val="20"/>
        </w:rPr>
        <w:t xml:space="preserve">the six months ended June 30, 2026, primarily due to higher realized bill rates and demand for our risk &amp; investigations services and higher realized bill rates for our dispute advisory services, which was partially offset by lower demand for our dispute advisory services. Excluding an estimated 1.4% positive impact from FX, revenues increased $4.9 million, or 1.3%.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Gross profit decreased $4.7 million, or 3.4%, to $133.7 million for the six months ended June 30, 2026. Gross profit margin decreased 2.2 percentage points for the six months ended June 30, 2026. The decrease in gross profit margin was primarily due to a 2 percentage point decrease in utilization, which was partially offset by higher realized bill rates.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SG&amp;A expenses increased $7.7 million, or 10.5%, to $81.0 million for the six months ended June 30, 2026, primarily due to an increase in hiring-related, bad debt, and travel and entertainment expenses. The increase in SG&amp;A expenses included an estimated 1.4% negative impact from FX. SG&amp;A expenses of 20.9% of revenues for the six months ended June 30, 2026 compared to 19.4% of revenues for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ECONOMIC CONSULTING</w:t>
      </w:r>
    </w:p>
    <w:tbl>
      <w:tblPr>
        <w:tblW w:w="10205" w:type="dxa"/>
        <w:jc w:val="left"/>
        <w:tblInd w:w="0" w:type="dxa"/>
        <w:tblLayout w:type="fixed"/>
        <w:tblCellMar>
          <w:top w:w="28" w:type="dxa"/>
          <w:left w:w="28" w:type="dxa"/>
          <w:bottom w:w="28" w:type="dxa"/>
          <w:right w:w="28" w:type="dxa"/>
        </w:tblCellMar>
      </w:tblPr>
      <w:tblGrid>
        <w:gridCol w:w="1541"/>
        <w:gridCol w:w="1194"/>
        <w:gridCol w:w="1210"/>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8"/>
      </w:tblGrid>
      <w:tr>
        <w:trPr/>
        <w:tc>
          <w:tcPr>
            <w:tcW w:w="154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(dollars in thousands, </w:t>
              <w:br/>
              <w:t>except rate per hour)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(dollars in thousands, </w:t>
              <w:br/>
              <w:t>except rate per hour)</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364,460 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371,518 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change in revenues from prior year</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288,288 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57,351 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364,347 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346,622 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24,896 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675"/>
              <w:jc w:val="left"/>
              <w:rPr>
                <w:rFonts w:ascii="Times New Roman;serif" w:hAnsi="Times New Roman;serif"/>
                <w:b w:val="false"/>
                <w:color w:val="000000"/>
                <w:sz w:val="20"/>
              </w:rPr>
            </w:pPr>
            <w:r>
              <w:rPr>
                <w:rFonts w:ascii="Times New Roman;serif" w:hAnsi="Times New Roman;serif"/>
                <w:b w:val="false"/>
                <w:color w:val="000000"/>
                <w:sz w:val="20"/>
              </w:rPr>
              <w:t xml:space="preserve">Percentage change in segment operating income </w:t>
            </w:r>
          </w:p>
          <w:p>
            <w:pPr>
              <w:pStyle w:val="TableContents"/>
              <w:bidi w:val="0"/>
              <w:spacing w:lineRule="auto" w:line="240" w:before="0" w:after="0"/>
              <w:ind w:left="0" w:right="0" w:firstLine="675"/>
              <w:jc w:val="left"/>
              <w:rPr>
                <w:color w:val="000000"/>
              </w:rPr>
            </w:pPr>
            <w:r>
              <w:rPr>
                <w:color w:val="000000"/>
              </w:rPr>
              <w:t>  </w:t>
            </w:r>
            <w:r>
              <w:rPr>
                <w:rFonts w:ascii="Times New Roman;serif" w:hAnsi="Times New Roman;serif"/>
                <w:b w:val="false"/>
                <w:color w:val="000000"/>
                <w:sz w:val="20"/>
              </w:rPr>
              <w:t>from prior year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2,735 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Segment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28,614 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Gross profit </w:t>
            </w:r>
            <w:r>
              <w:rPr>
                <w:rFonts w:ascii="Times New Roman;serif" w:hAnsi="Times New Roman;serif"/>
                <w:b w:val="false"/>
                <w:color w:val="000000"/>
                <w:sz w:val="12"/>
              </w:rPr>
              <w:t>(1)</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41,814 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58,025 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83,230 </w:t>
            </w:r>
          </w:p>
        </w:tc>
        <w:tc>
          <w:tcPr>
            <w:tcW w:w="3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change in gross profit from prior year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Gross profit margin </w:t>
            </w:r>
            <w:r>
              <w:rPr>
                <w:rFonts w:ascii="Times New Roman;serif" w:hAnsi="Times New Roman;serif"/>
                <w:b w:val="false"/>
                <w:color w:val="000000"/>
                <w:sz w:val="12"/>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Segment EBITDA as a percentage of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billable professionals (at period end)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Percentage change in number of billable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professionals from prior year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Utilization rate of billable professionals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billable rate per hour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Revenues less direct cost of revenues</w:t>
      </w:r>
    </w:p>
    <w:p>
      <w:pPr>
        <w:pStyle w:val="TextBody"/>
        <w:bidi w:val="0"/>
        <w:spacing w:lineRule="auto" w:line="288" w:before="0" w:after="18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Gross profit as a percentage of revenues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Three Months Ended June 30, 2026 Compared to Three Months Ended June 30, 2025</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Revenues decreased $2.8 million, or 1.5%, to $188.8 million for the three months ended June 30, 2026, primarily due to lower demand for our non-M&amp;A-related antitrust and international arbitration services, which was partially offset by higher demand for M&amp;A-related antitrust services and higher realized bill rates for our financial economics services.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Gross profit decreased $4.4 million, or 10.4%, to $37.5 million for the three months ended June 30, 2026. Gross profit margin decreased 2.0 percentage points for the three months ended June 30, 2026. The decrease in gross profit margin was primarily due to a 3 percentage point decrease in utilization, which was partially offset by higher realized bill rates.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SG&amp;A expenses increased $1.0 million, or 3.5%, to $30.0 million for the three months ended June 30, 2026, primarily driven by higher bad debt and outside services expenses. SG&amp;A expenses of 15.9% of revenues for the three months ended June 30, 2026 compared to 15.1% of revenues for the three months ended June 30, 2025.</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Six Months Ended June 30, 2026 Compared to Six Months Ended June 30, 2025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Revenues decreased $7.1 million, or 1.9%, to $364.5 million for the six months ended June 30, 2026, primarily due to lower demand for our non-M&amp;A-related antitrust and international arbitration services, which was partially offset by higher realized bill rates across our services and higher demand for our M&amp;A-related antitrust services. Excluding an estimated 1.9% positive impact from FX, revenues decreased $14.3 million, or 3.8%.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Gross profit decreased $25.2 million, or 30.3%, to $58.0 million for the six months ended June 30, 2026. Gross profit margin decreased 6.5 percentage points for the six months ended June 30, 2026. The decrease in gross profit margin was primarily due to higher forgivable loan amortization and variable compensation as a percentage of revenues and a 2 percentage point decrease in utilization, which was partially offset by higher realized bill rates.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SG&amp;A expenses increased $0.6 million, or 1.0%, to $57.9 million for the six months ended June 30, 2026, primarily due to higher compensation and outside services expenses, which was partially offset by lower infrastructure support expenses. The increase in SG&amp;A expenses included an estimated 2.3% negative impact from FX. SG&amp;A expenses of 15.9% of revenues for the six months ended June 30, 2026 compared to 15.4% of revenues for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TECHNOLOGY</w:t>
      </w:r>
    </w:p>
    <w:tbl>
      <w:tblPr>
        <w:tblW w:w="10205" w:type="dxa"/>
        <w:jc w:val="left"/>
        <w:tblInd w:w="0" w:type="dxa"/>
        <w:tblLayout w:type="fixed"/>
        <w:tblCellMar>
          <w:top w:w="28" w:type="dxa"/>
          <w:left w:w="28" w:type="dxa"/>
          <w:bottom w:w="28" w:type="dxa"/>
          <w:right w:w="28" w:type="dxa"/>
        </w:tblCellMar>
      </w:tblPr>
      <w:tblGrid>
        <w:gridCol w:w="1393"/>
        <w:gridCol w:w="1129"/>
        <w:gridCol w:w="1144"/>
        <w:gridCol w:w="211"/>
        <w:gridCol w:w="721"/>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807"/>
      </w:tblGrid>
      <w:tr>
        <w:trPr/>
        <w:tc>
          <w:tcPr>
            <w:tcW w:w="13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6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180,755 </w:t>
            </w:r>
          </w:p>
        </w:tc>
        <w:tc>
          <w:tcPr>
            <w:tcW w:w="8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change in revenues from prior year</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 of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123,122 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47,551 </w:t>
            </w:r>
          </w:p>
        </w:tc>
        <w:tc>
          <w:tcPr>
            <w:tcW w:w="8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94,204 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82,039 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188,824 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172,601 </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operating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8,154 </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675"/>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Percentage change in segment operating income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from prior year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6,794 </w:t>
            </w:r>
          </w:p>
        </w:tc>
        <w:tc>
          <w:tcPr>
            <w:tcW w:w="8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Segment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16,876 </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Gross profit </w:t>
            </w:r>
            <w:r>
              <w:rPr>
                <w:rFonts w:ascii="Times New Roman;serif" w:hAnsi="Times New Roman;serif"/>
                <w:b w:val="false"/>
                <w:color w:val="000000"/>
                <w:sz w:val="12"/>
              </w:rPr>
              <w:t>(1)</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31,836 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65,143 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57,633 </w:t>
            </w:r>
          </w:p>
        </w:tc>
        <w:tc>
          <w:tcPr>
            <w:tcW w:w="80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change in gross profit from prior year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Gross profit margin </w:t>
            </w:r>
            <w:r>
              <w:rPr>
                <w:rFonts w:ascii="Times New Roman;serif" w:hAnsi="Times New Roman;serif"/>
                <w:b w:val="false"/>
                <w:color w:val="000000"/>
                <w:sz w:val="12"/>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Segment EBITDA as a percentage of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Number of billable professionals (at period end) </w:t>
            </w:r>
            <w:r>
              <w:rPr>
                <w:rFonts w:ascii="Times New Roman;serif" w:hAnsi="Times New Roman;serif"/>
                <w:b w:val="false"/>
                <w:color w:val="000000"/>
                <w:sz w:val="12"/>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807" w:type="dxa"/>
            <w:tcBorders/>
            <w:shd w:fill="FFFF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Percentage change in number of billable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professionals from prior year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Revenues less direct cost of revenues</w:t>
      </w:r>
    </w:p>
    <w:p>
      <w:pPr>
        <w:pStyle w:val="TextBody"/>
        <w:bidi w:val="0"/>
        <w:spacing w:lineRule="auto" w:line="288" w:before="0" w:after="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Gross profit as a percentage of revenues</w:t>
      </w:r>
    </w:p>
    <w:p>
      <w:pPr>
        <w:pStyle w:val="TextBody"/>
        <w:bidi w:val="0"/>
        <w:spacing w:lineRule="auto" w:line="288" w:before="0" w:after="180"/>
        <w:ind w:left="0" w:right="0" w:hanging="720"/>
        <w:jc w:val="left"/>
        <w:rPr/>
      </w:pPr>
      <w:r>
        <w:rPr>
          <w:rFonts w:ascii="Times New Roman;serif" w:hAnsi="Times New Roman;serif"/>
          <w:b w:val="false"/>
          <w:color w:val="000000"/>
          <w:sz w:val="13"/>
        </w:rPr>
        <w:t>(3)</w:t>
      </w:r>
      <w:r>
        <w:rPr>
          <w:rFonts w:ascii="Times New Roman;serif" w:hAnsi="Times New Roman;serif"/>
          <w:b w:val="false"/>
          <w:color w:val="000000"/>
          <w:sz w:val="20"/>
        </w:rPr>
        <w:t>Includes personnel involved in direct client assistance and billable consultants and excludes professionals employed on an as-needed basis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Three Months Ended June 30, 2026 Compared to Three Months Ended June 30, 2025</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Revenues increased $15.4 million, or 18.4%, to $99.0 million for the three months ended June 30, 2026, primarily due to higher demand for our M&amp;A-related “second request” services, which was partially offset by lower demand for our investigations services.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Gross profit increased $7.1 million, or 28.7%, to $31.8 million for the three months ended June 30, 2026. Gross profit margin increased 2.6 percentage points for the three months ended June 30, 2026. The increase in gross profit margin was primarily due to an increase in profitability of our consulting, processing and review services, which was partially offset by a decrease in profitability of our hosting services.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SG&amp;A expenses increased $3.8 million, or 16.6%, to $27.0 million for the three months ended June 30, 2026, primarily due to higher bad debt, compensation and travel and entertainment expenses. SG&amp;A expenses of 27.3% of revenues for the three months ended June 30, 2026 compared to 27.7% of revenues for the three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Six Months Ended June 30, 2026 Compared to Six Months Ended June 30, 2025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Revenues increased $20.6 million, or 11.4%, to $201.3 million for the six months ended June 30, 2026, primarily due to higher demand for our M&amp;A-related “second request,” litigation and information governance, privacy &amp; security services, which was partially offset by lower demand for our investigations services. Excluding an estimated 1.6% positive impact from FX, revenues increased $17.7 million, or 9.8%.</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Gross profit increased $7.5 million, or 13.0%, to $65.1 million for the six months ended June 30, 2026. Gross profit margin increased 0.5 percentage points for the six months ended June 30, 2026. The increase in gross profit margin was primarily due to higher profitability of our consulting, review and processing services, which was partially offset by lower profitability of our hosting services.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SG&amp;A expenses increased $5.1 million, or 10.7%, to $52.6 million for the six months ended June 30, 2026, primarily due to higher bad debt, compensation, and travel and entertainment expenses. The increase in SG&amp;A expenses included an estimated 1.4% negative impact from FX. SG&amp;A expenses of 26.1% of revenues for the six months ended June 30, 2026 compared to 26.3% of revenues for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STRATEGIC COMMUNICATIONS</w:t>
      </w:r>
    </w:p>
    <w:tbl>
      <w:tblPr>
        <w:tblW w:w="10205" w:type="dxa"/>
        <w:jc w:val="left"/>
        <w:tblInd w:w="0" w:type="dxa"/>
        <w:tblLayout w:type="fixed"/>
        <w:tblCellMar>
          <w:top w:w="28" w:type="dxa"/>
          <w:left w:w="28" w:type="dxa"/>
          <w:bottom w:w="28" w:type="dxa"/>
          <w:right w:w="28" w:type="dxa"/>
        </w:tblCellMar>
      </w:tblPr>
      <w:tblGrid>
        <w:gridCol w:w="1362"/>
        <w:gridCol w:w="1092"/>
        <w:gridCol w:w="1106"/>
        <w:gridCol w:w="211"/>
        <w:gridCol w:w="721"/>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808"/>
      </w:tblGrid>
      <w:tr>
        <w:trPr/>
        <w:tc>
          <w:tcPr>
            <w:tcW w:w="136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r>
      <w:tr>
        <w:trPr/>
        <w:tc>
          <w:tcPr>
            <w:tcW w:w="3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189,668 </w:t>
            </w:r>
          </w:p>
        </w:tc>
        <w:tc>
          <w:tcPr>
            <w:tcW w:w="8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change in revenues from prior year</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 of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122,215 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37,848 </w:t>
            </w:r>
          </w:p>
        </w:tc>
        <w:tc>
          <w:tcPr>
            <w:tcW w:w="8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r>
      <w:tr>
        <w:trPr/>
        <w:tc>
          <w:tcPr>
            <w:tcW w:w="3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8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82,592 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85,176 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164,748 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163,469 </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operating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38,228 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26,199 </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675"/>
              <w:jc w:val="left"/>
              <w:rPr>
                <w:sz w:val="4"/>
                <w:szCs w:val="4"/>
              </w:rPr>
            </w:pPr>
            <w:r>
              <w:rPr>
                <w:sz w:val="4"/>
                <w:szCs w:val="4"/>
              </w:rPr>
            </w:r>
          </w:p>
        </w:tc>
      </w:tr>
      <w:tr>
        <w:trPr/>
        <w:tc>
          <w:tcPr>
            <w:tcW w:w="3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Percentage change in segment operating income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from prior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3,268 </w:t>
            </w:r>
          </w:p>
        </w:tc>
        <w:tc>
          <w:tcPr>
            <w:tcW w:w="8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r>
      <w:tr>
        <w:trPr/>
        <w:tc>
          <w:tcPr>
            <w:tcW w:w="3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Segment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40,387 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31,384 </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Gross profit </w:t>
            </w:r>
            <w:r>
              <w:rPr>
                <w:rFonts w:ascii="Times New Roman;serif" w:hAnsi="Times New Roman;serif"/>
                <w:b w:val="false"/>
                <w:color w:val="000000"/>
                <w:sz w:val="12"/>
              </w:rPr>
              <w:t>(1)</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37,691 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37,127 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78,106 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67,453 </w:t>
            </w:r>
          </w:p>
        </w:tc>
        <w:tc>
          <w:tcPr>
            <w:tcW w:w="80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change in gross profit from prior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Gross profit margin </w:t>
            </w:r>
            <w:r>
              <w:rPr>
                <w:rFonts w:ascii="Times New Roman;serif" w:hAnsi="Times New Roman;serif"/>
                <w:b w:val="false"/>
                <w:color w:val="000000"/>
                <w:sz w:val="12"/>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Segment EBITDA as a percentage of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billable professionals (at period end)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892 </w:t>
            </w:r>
          </w:p>
        </w:tc>
        <w:tc>
          <w:tcPr>
            <w:tcW w:w="808" w:type="dxa"/>
            <w:tcBorders/>
            <w:shd w:fill="CCEE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3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Percentage change in number of billable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professionals from prior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Revenues less direct cost of revenues</w:t>
      </w:r>
    </w:p>
    <w:p>
      <w:pPr>
        <w:pStyle w:val="TextBody"/>
        <w:bidi w:val="0"/>
        <w:spacing w:lineRule="auto" w:line="288" w:before="0" w:after="18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Gross profit as a percentage of revenues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Three Months Ended June 30, 2026 Compared to Three Months Ended June 30, 2025</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Revenues decreased $2.7 million, or 2.6%, to $100.0 million for the three months ended June 30, 2026. The decrease in revenues was primarily due to a $7.4 million decline in pass-through revenues. Excluding pass-through revenues, revenues increased $4.7 million, or 5.4%, to $92.4 million, primarily due to higher demand for our corporate reputation services.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increased $0.6 million, or 1.5%, to $37.7 million for the three months ended June 30, 2026. Gross profit margin increased 1.5 percentage points for the three months ended June 30, 2026. The increase in gross profit margin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primarily due to lower pass-through revenues and expenses, which was partially offset by higher compensation expenses as a percentage of revenues.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SG&amp;A expenses increased $0.6 million, or 3.3%, to $20.2 million for the three months ended June 30, 2026, primarily due to higher travel and entertainment and compensation expenses. The increase in SG&amp;A expenses included an estimated 1.2% negative impact from FX. SG&amp;A expenses of 20.2% of revenues for the three months ended June 30, 2026 compared to 19.1% of revenues for the three months ended June 30, 2025.</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Six Months Ended June 30, 2026 Compared to Six Months Ended June 30, 2025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Revenues increased $13.3 million, or 7.0%, to $203.0 million for the six months ended June 30, 2026. Revenues included an $8.1 million decline in pass-through revenues. Excluding pass-through revenues, revenues increased $21.4 million, or 12.9%, to $186.8 million, primarily due to higher demand for corporate reputation, financial communications and public affairs services. Excluding an estimated 2.3% positive impact from FX, revenues increased $9.0 million, or 4.7%.</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Gross profit increased $10.7 million, or 15.8%, to $78.1 million for the six months ended June 30, 2026. Gross profit margin increased 2.9 percentage points for the six months ended June 30, 2026. The increase in gross profit margin was primarily due to lower pass-through revenues and expenses and lower compensation expenses as a percentage of revenues.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SG&amp;A expenses increased $1.9 million, or 5.0%, to $39.7 million for the six months ended June 30, 2026, primarily due to higher travel and entertainment, marketing and compensation expenses. The increase in SG&amp;A expenses included an estimated 2.8% negative impact from FX. SG&amp;A expenses of 19.6% of revenues for the six months ended June 30, 2026 compared to 20.0% of revenues for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discussion and analysis of our financial condition and results of operations are based on our condensed consolidated financial statements, which we have prepared in accordance with GAAP. The preparation of these financial statements requires us to make estimates and judgments that affect the reported amounts of assets, liabilities, revenues and expenses, and related disclosure of contingent assets and liabilities. Note 1 to the Consolidated Financial Statements included in Part II, Item 8, of our Annual Report on Form 10-K for the year ended December 31, 2025 describes the significant accounting policies and methods used in preparation of the Condensed Consolidated Financial Statements in this Quarterly Report on Form 10-Q. We evaluate our estimates, including those related to revenues, goodwill and intangible assets, income taxes and contingencies, on an ongoing basis. Our estimates are based on current facts and circumstances, historical experience and various other assumptions that we believe are reasonable, which form the basis for making judgments about the values of assets and liabilities that are not readily apparent from other sources. Actual results may differ from these estimates under different assumptions or conditions. The accounting estimates that reflect our more significant judgments, and which we believe are the most critical to aid in fully understanding and evaluating our reported financial results, include the following:</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Revenue Recognition</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Goodwill and Intangible Assets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Income Taxes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were no material changes to our critical accounting estimates from the information provided in “Critical Accounting Estimates” in the Management’s Discussion and Analysis of Financial Condition and Results of Operations, in Part II, Item 7, of our Annual Report on Form 10-K for the year ended December 31, 2025, or from the information provided in Part II, Item 8, of our Annual Report on Form 10-K for the year ended December 31, 2025.</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SIGNIFICANT NEW ACCOUNTING PRONOUNCEMENTS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See Note 2, “New Accounting Standards” in Part I, Item 1,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annual cash flows from operations generally exceed our cash needs for capital expenditures and debt service requirements. We typically finance our day-to-day operations, capital expenditures, acquisitions and share repurchases through cash flows from operations. We believe that our cash flows from operations, supplemented by borrowings under our Revolving Credit Facility, as necessary, and our Incremental Term Loan under our third amended and restated credit agreement entered into on June 30, 2026 (as amended and restated, the “Credit Agreement”), will provide adequate cash to fund our cash needs for at least the next 12 months.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operating assets and liabilities consist primarily of billed and unbilled accounts receivable, notes receivable from employees, accounts payable, accrued expenses and accrued compensation expenses. The timing of billings and collections of receivables, as well as compensation and vendor payments, affects the changes in these balances.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Results of operations for our non-U.S. subsidiaries are translated from the designated functional currency to our reporting currency of USD. Revenues and expenses are translated at average exchange rates for each month, while assets and liabilities are translated at balance sheet date exchange rates and certain equity transactions are translated at historical rates. Resulting net translation adjustments are recorded as a component of stockholders’ equity in “Accumulated other comprehensive loss.”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Uncertainties and Trends Affecting Liquidity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conclusion that we will be able to fund our cash requirements for at least the next 12 months by using existing capital resources and cash generated from operations does not take into account events beyond our control that could result in a material adverse impact on our business, the impact of any future acquisitions or unexpected significant changes in the number of employees or other unanticipated uses of cash. The anticipated cash needs of our business could change significantly if we pursue and complete additional business acquisitions, if our business plans change, if events such as economic, political and workforce disruptions arise, including any impact of future public health crises, or economic, political or business conditions change from those currently prevailing or from those now anticipated, or if unexpected circumstances or other events beyond our control arise that may have a material adverse effect on the cash flow or profitability of our business, including material negative changes in the health and welfare of our employees or those of our clients, and the operating performance or financial results of our business. Any of these events or circumstances, including any new business opportunities, could involve significant additional funding and could require us to borrow under our Revolving Credit Facility or raise additional debt or equity funding to meet those needs. Our ability to borrow or raise additional capital, if necessary, is subject to a variety of factors that we cannot predict with certainty, including:</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our future profitability;</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the quality of our accounts receivable;</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our relative levels of debt and equity;</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the volatility and overall condition of the capital markets; and</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the market prices of our securities.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new debt funding, if available, may be on terms less favorable to us than our Revolving Credit Facility and Incremental Term Loan under our Credit Agreement. See “Forward-Looking Statements” in Part I, Item 2, of this Quarterly Report on Form 10-Q, and the information contained under the heading “Risk Factors” in Part I, Item 1A, of our Annual Report on Form 10-K for the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color w:val="000000"/>
          <w:sz w:val="20"/>
        </w:rPr>
        <w:t>Cash Flows</w:t>
      </w:r>
      <w:r>
        <w:rPr>
          <w:color w:val="000000"/>
        </w:rPr>
        <w:t xml:space="preserve"> </w:t>
      </w:r>
    </w:p>
    <w:tbl>
      <w:tblPr>
        <w:tblW w:w="7898" w:type="dxa"/>
        <w:jc w:val="left"/>
        <w:tblInd w:w="0" w:type="dxa"/>
        <w:tblLayout w:type="fixed"/>
        <w:tblCellMar>
          <w:top w:w="28" w:type="dxa"/>
          <w:left w:w="28" w:type="dxa"/>
          <w:bottom w:w="28" w:type="dxa"/>
          <w:right w:w="28" w:type="dxa"/>
        </w:tblCellMar>
      </w:tblPr>
      <w:tblGrid>
        <w:gridCol w:w="1842"/>
        <w:gridCol w:w="1615"/>
        <w:gridCol w:w="1627"/>
        <w:gridCol w:w="211"/>
        <w:gridCol w:w="901"/>
        <w:gridCol w:w="109"/>
        <w:gridCol w:w="109"/>
        <w:gridCol w:w="109"/>
        <w:gridCol w:w="109"/>
        <w:gridCol w:w="211"/>
        <w:gridCol w:w="901"/>
        <w:gridCol w:w="154"/>
      </w:tblGrid>
      <w:tr>
        <w:trPr/>
        <w:tc>
          <w:tcPr>
            <w:tcW w:w="1842"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Cash Flows</w:t>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(409,517)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DSO </w:t>
            </w:r>
            <w:r>
              <w:rPr>
                <w:rFonts w:ascii="Times New Roman;serif" w:hAnsi="Times New Roman;serif"/>
                <w:b w:val="false"/>
                <w:color w:val="000000"/>
                <w:sz w:val="13"/>
              </w:rPr>
              <w:t>(1)</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540"/>
        <w:jc w:val="left"/>
        <w:rPr/>
      </w:pPr>
      <w:r>
        <w:rPr>
          <w:rFonts w:ascii="Times New Roman;serif" w:hAnsi="Times New Roman;serif"/>
          <w:b w:val="false"/>
          <w:color w:val="000000"/>
          <w:sz w:val="13"/>
        </w:rPr>
        <w:t>(1)</w:t>
      </w:r>
      <w:r>
        <w:rPr>
          <w:rFonts w:ascii="Times New Roman;serif" w:hAnsi="Times New Roman;serif"/>
          <w:b w:val="false"/>
          <w:color w:val="000000"/>
          <w:sz w:val="20"/>
        </w:rPr>
        <w:t>DSO is a performance measure used to assess how quickly revenues are collected by the Company. We calculate DSO at the end of each reporting period by dividing accounts receivable, net reduced by billings in excess of services provided, by revenues for the quarter, adjusted for changes in foreign exchange rates. We multiply the result by the number of days in the quarter.</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Six Months Ended June 30, 2026 Compared to Six Months Ended June 30, 2025</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decreased $251.8 million, or 61.5%, to $157.7 million compared to $409.5 million for the six months ended June 30, 2025. The decrease in net cash used in operating activities was primarily due to a decrease in forgivable loan issuances, higher cash collections and a decrease in income tax payments, which was partially offset by an increase in compensation and interest payments. DSO was 99 and 100 days as of June 30, 2026 and 2025, respectively.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increased $28.8 million, or 81.6%, to $64.0 million compared to $35.2 million for the six months ended June 30, 2025. The increase in net cash used in investing activities was due to a $42.1 million payment for a tax equity investment, which was partially offset by a $13.3 million decrease in capital expenditures, primarily related to lower spend on leasehold improvements as compared to the six months ended June 30, 2025.</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increased $208.7 million to $124.5 million compared to net cash used in financing activities of $84.2 million for the six months ended June 30, 2025. The increase in net cash provided by financing activities was primarily due to receipt of $300.0 million in proceeds from the Incremental Term Loan, which was partially offset by a decrease in net borrowings of $115.0 million under our Revolving Credit Facility compared to the six months ended June 30, 2025.</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effect of exchange rate changes on cash and cash equivalents had an unfavorable impact of $4.1 million during the six months ended June 30, 2026 compared to a favorable impact of $21.3 million during the six months ended June 30, 2025.</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Cash paid for income taxes and tax credits, net of refunds, included $6.8 million and $28.9 million of payments for the purchase of tax credits during the six months ended June 30, 2026 and 2025, respectively.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Principal Sources of Capital Resources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our capital resources included $163.7 million of cash and cash equivalents and available borrowing capacity of $780.0 million under the revolving line of credit under our Revolving Credit Facility. We also hold an Incremental Term Loan in the aggregate amount of $300.0 million, which matures on March 17, 2029.</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availability of borrowings, as well as issuances and extensions of letters of credit under our Revolving Credit Facility, are subject to specified conditions. See Note 8, “Debt” in Part I, Item 1, of this Quarterly Report on Form 10-Q for a further discussion of variable interest rates and guarantees under the Revolving Credit Facility and Incremental Term Loan.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Credit Agreement governing the Revolving Credit Facility and the Incremental Term Loan contains covenants that, among other things, may limit our ability to: incur additional indebtedness; create liens; pay dividends on our capital stock, make distributions or repurchases of our capital stock or make specified other restricted payments; consolidate, merge or sell all or substantially all of our assets; or engage in any business other than consulting-related businesses. In addition, the Credit Agreement includes a financial covenant that requires us not to exceed a maximum consolidated total net leverage ratio (the ratio of funded debt (less unrestricted cash up to $400.0 million) to Consolidated EBITDA, as defined in the Credit Agreement). As of June 30, 2026, we were in compliance with the covenants contained in the Credit Agreement. See Note 8, “Debt” in Part I, Item 1, of this Quarterly Report on Form 10-Q for a further discussion of the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Principal Uses of Capital Resources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Future Capital Requirements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anticipate that our future capital requirements will principally consist of funds required for:</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operating and general corporate expenses;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capital expenditures, primarily for information technology equipment and systems, office furniture and leasehold improvements;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debt service requirements, including interest payments;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compensation to designated executive management and senior managing directors under our various long-term incentive compensation programs, including forgivable loans;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discretionary funding of the Repurchase Program;</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contingent obligations related to our acquisitions;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potential acquisitions of businesses; and</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other known future contractual obligations.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Capital Expenditures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spent $21.9 million in capital expenditures to support our organization. For the remainder of 2026, we currently expect additional capital expenditures to support our organization in an aggregate amount of between $24 million and $29 million. Our estimate takes into consideration the needs of our existing businesses but does not include the impact of any expenditures that we may be required to make as a result of future acquisitions or specific client engagements that are not completed or not currently contemplated. Our capital expenditure requirements may change if our staffing levels or technology needs change significantly from what we currently anticipate, if we are required to purchase additional equipment specifically to support new client engagements, or if we pursue and complete acquisitions.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made $520.0 million in payments, including commissions and excise taxes, for common stock repurchases under the Repurchase Program. We had $344.0 million remaining under the Repurchase Program to repurchase additional shares as of June 30, 2026.</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Future Contractual Obligations</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Our future contractual obligations as of June 30, 2026 include long-term obligations of $1,020.0 million </w:t>
      </w:r>
      <w:r>
        <w:rPr>
          <w:rFonts w:ascii="Times New Roman;serif" w:hAnsi="Times New Roman;serif"/>
          <w:b w:val="false"/>
          <w:color w:val="000000"/>
          <w:sz w:val="20"/>
          <w:shd w:fill="FFFFFF" w:val="clear"/>
        </w:rPr>
        <w:t>related to outstanding borrowings under our Revolving Credit Facility and Incremental Term Loan. For more information on our Revolving Credit Facility and Incremental Term Loan, refer to Note 8, “Debt” in Part I, Item 1 of this Quarterly Report on Form 10-Q</w:t>
      </w:r>
      <w:r>
        <w:rPr>
          <w:rFonts w:ascii="Times New Roman;serif" w:hAnsi="Times New Roman;serif"/>
          <w:b w:val="false"/>
          <w:color w:val="000000"/>
          <w:sz w:val="20"/>
        </w:rPr>
        <w:t>. Under our operating leases as described in Note 9, “Leases” in Part I, Item 1 of this Quarterly Report on Form 10-Q, we have current obligations of $39.5 million and non-current obligations of $208.7 million as of June 30, 2026.</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above amounts reflect future unconditional payments and are based on the terms of the relevant agreements, appropriate classification of items under GAAP currently in effect and certain assumptions such as interest rates. Future events could cause actual payments to differ from these amounts.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we were contingently liable under bank guarantees issued in favor of third parties that totaled $18.6 million and $17.5 million, respectively. These bank guarantees primarily support bid and performance obligations and operating leases for office space. The amounts are guaranteed under guarantee facilities totaling $40.7 million and $32.5 million as of June 30, 2026 and December 31, 2025, respectively. We had $22.1 million and $15.0 million available under the guarantee facilities as of June 30, 2026 and December 31, 2025, respectively. These bank guarantees are issued separately from our Revolving Credit Facility and, as a result, do not affect available borrowing capacity under our Revolving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This Quarterly Report on Form 10-Q includes “forward-looking statements” within the meaning of Section 27A of the Securities Act of 1933, as amended (the “Securities Act”), and Section 21E of the Securities Exchange Act of 1934, as amended (the “Exchange Act”). All statements other than statements of historical fact, including among other things, statements about future events, anticipated growth, industry prospects, business trends, our future results of operations and financial position, business strategy and plans, future revenues or performance, financing needs, and objectives of management for future operations, are forward-looking statements. Forward-looking statements often contain words such as </w:t>
      </w:r>
      <w:r>
        <w:rPr>
          <w:color w:val="000000"/>
        </w:rPr>
        <w:t>“</w:t>
      </w:r>
      <w:r>
        <w:rPr>
          <w:rFonts w:ascii="Times New Roman;serif" w:hAnsi="Times New Roman;serif"/>
          <w:b w:val="false"/>
          <w:i/>
          <w:color w:val="000000"/>
          <w:sz w:val="20"/>
        </w:rPr>
        <w:t>may,” “might,” “will,” “should,” “could,” “would,” “estimates,” “expects,” “anticipates,” “projects,” “plans,” “intends,” “believes,” “commits,” “aspires,” “forecasts,” “future,” “goal,” “seeks”</w:t>
      </w:r>
      <w:r>
        <w:rPr>
          <w:color w:val="000000"/>
        </w:rPr>
        <w:t xml:space="preserve"> </w:t>
      </w:r>
      <w:r>
        <w:rPr>
          <w:rFonts w:ascii="Times New Roman;serif" w:hAnsi="Times New Roman;serif"/>
          <w:b w:val="false"/>
          <w:color w:val="000000"/>
          <w:sz w:val="20"/>
        </w:rPr>
        <w:t>and variations of such words or similar expressions.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are a number of risks, uncertainties and other factors that could cause our actual results or outcomes, and the timing of our results or outcomes, to differ materially from the forward-looking statements expressed or implied by this Quarterly Report on Form 10-Q. Although we believe that the expectations and assumptions reflected in these forward-looking statements are reasonable, we can provide no assurance that these expectations and assumptions will prove to be correct. Forward-looking statements relate to future events, results and outcomes and are inherently uncertain.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or outcomes to differ materially from those contained in any forward-looking statements. Important factors that could cause our actual results or outcomes, and the timing of our results and outcomes, to differ materially from the forward-looking statements we make in this Quarterly Report on Form 10-Q include those set forth under the heading “Risk Factors” in Part I, Item 1A, of our Annual Report on Form 10-K for the year ended December 31, 2025, as well as in other information that we file with the SEC from time to time, and include, but are not limited to, the following:</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changes in demand for our services;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our ability to recruit and retain qualified professionals and senior management, including segment, industry and regional leaders;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conflicts resulting in our inability to represent certain clients;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our former employees joining or forming competing businesses;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the enactment of legislation rendering contractual protections against competition by former employees unenforceable;</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our ability to manage our headcount needs and our professionals’ utilization and billing rates and maintain or increase the pricing of our services and products;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our ability to identify suitable acquisition candidates, negotiate favorable terms, take advantage of opportunistic acquisition situations and integrate the operations of acquisitions, as well as the costs of integration;</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our ability to adapt to and manage the risks associated with operating in non-U.S. markets;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our ability to replace key personnel, including former executives, officers, senior managers and practice and regional leaders who have highly specialized skills and experience;</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our ability to protect the confidentiality of internal and client data and proprietary and confidential information, including from cyberattacks, systems failures or other similar events or outside or internal bad actors, or the use or misuse of social media;</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legislation or judicial rulings, including legislation or rulings regarding data privacy and the discovery process;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periodic fluctuations in revenues, operating income and cash flows;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damage to our reputation as a result of claims involving the quality of our services, failures of our internal information technology systems controls or adverse publicity relating to certain clients or engagements;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fee discounting or renegotiation, lower pricing, less advantageous contract terms and unexpected termination of client engagements;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competition for clients and key personnel;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general economic factors, industry trends, restructuring and bankruptcy rates, legal or regulatory requirements, capital market conditions, merger and acquisition activity, major litigation activity, geopolitical disruptions, including wars and other conflicts, and other events outside of our control;</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our ability to manage growth;</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risk of non-payment of receivables;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the amount and terms of our outstanding indebtedness;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risks relating to the obsolescence, replacement, protection, implementation or operation of our information technology systems, including our enterprise resource planning and other financial systems, and software, proprietary software products, intellectual property rights and trade secrets, which could adversely affect our ability to retain or win clients, conduct business, preserve or enhance our reputation, maintain business continuity or report financial results;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risks relating to the adoption and integration of technological innovations such as AI and machine learning;</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foreign currency disruptions and currency fluctuations between the U.S. dollar and foreign currencies;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U.S. and foreign tax law changes, including the enactment of tax legislation, proposed from time to time, into law, which could increase our effective tax rate and cash tax expenditures;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physical risks related to climate change, including rising temperatures, severe storms, energy disruptions, fires or wildfires, flooding and rising sea levels, among others, which could adversely impact our ability to conduct business or maintain business continuity, including by affecting our access to our leased office space in affected geographies and the integrity of our information technology systems;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our climate change and sustainability and corporate responsibility-related initiatives and goals, including our policies and practices relating to the environment and climate change, sustainability, and inclusion, if they do not meet or keep pace with current or evolving governmental, investor or other stakeholder or media (including social media) expectations and standards or rules and regulations; and</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fluctuations in the mix of our services and the geographic locations in which our clients are located or our services are rendered.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All forward-looking statements are presented as of the date of this Quarterly Report on Form 10-Q and are expressly qualified in their entirety by the cautionary statements included herein. Except as required by law, we undertake no obligation to publicly update or revise any forward-looking statement for any reason.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939" w:type="dxa"/>
        <w:jc w:val="left"/>
        <w:tblInd w:w="0" w:type="dxa"/>
        <w:tblLayout w:type="fixed"/>
        <w:tblCellMar>
          <w:top w:w="28" w:type="dxa"/>
          <w:left w:w="28" w:type="dxa"/>
          <w:bottom w:w="28" w:type="dxa"/>
          <w:right w:w="28" w:type="dxa"/>
        </w:tblCellMar>
      </w:tblPr>
      <w:tblGrid>
        <w:gridCol w:w="255"/>
        <w:gridCol w:w="224"/>
        <w:gridCol w:w="226"/>
        <w:gridCol w:w="1532"/>
        <w:gridCol w:w="1532"/>
        <w:gridCol w:w="2170"/>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Quantitative and Qualitative Disclosures About Market Risk</w:t>
            </w:r>
          </w:p>
        </w:tc>
      </w:tr>
    </w:tbl>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For information regarding our exposure to certain market risks, see “Quantitative and Qualitative Disclosures About Market Risk” in Part II, Item 7A, of our Annual Report on Form 10-K for the year ended December 31, 2025. There have been </w:t>
      </w:r>
      <w:r>
        <w:rPr>
          <w:rFonts w:ascii="Times New Roman;serif" w:hAnsi="Times New Roman;serif"/>
          <w:b w:val="false"/>
          <w:color w:val="000000"/>
          <w:sz w:val="20"/>
          <w:shd w:fill="FFFFFF" w:val="clear"/>
        </w:rPr>
        <w:t>no mate</w:t>
      </w:r>
      <w:r>
        <w:rPr>
          <w:rFonts w:ascii="Times New Roman;serif" w:hAnsi="Times New Roman;serif"/>
          <w:b w:val="false"/>
          <w:color w:val="000000"/>
          <w:sz w:val="20"/>
        </w:rPr>
        <w:t>rial changes in our market risk exposure during the period covered by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955" w:type="dxa"/>
        <w:jc w:val="left"/>
        <w:tblInd w:w="0" w:type="dxa"/>
        <w:tblLayout w:type="fixed"/>
        <w:tblCellMar>
          <w:top w:w="28" w:type="dxa"/>
          <w:left w:w="28" w:type="dxa"/>
          <w:bottom w:w="28" w:type="dxa"/>
          <w:right w:w="28" w:type="dxa"/>
        </w:tblCellMar>
      </w:tblPr>
      <w:tblGrid>
        <w:gridCol w:w="255"/>
        <w:gridCol w:w="224"/>
        <w:gridCol w:w="226"/>
        <w:gridCol w:w="658"/>
        <w:gridCol w:w="658"/>
        <w:gridCol w:w="934"/>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Controls and Procedures</w:t>
            </w:r>
          </w:p>
        </w:tc>
      </w:tr>
    </w:tbl>
    <w:p>
      <w:pPr>
        <w:pStyle w:val="TextBody"/>
        <w:bidi w:val="0"/>
        <w:spacing w:lineRule="auto" w:line="288" w:before="0" w:after="180"/>
        <w:ind w:left="0" w:right="0" w:firstLine="540"/>
        <w:jc w:val="left"/>
        <w:rPr/>
      </w:pPr>
      <w:r>
        <w:rPr>
          <w:rFonts w:ascii="Times New Roman;serif" w:hAnsi="Times New Roman;serif"/>
          <w:b/>
          <w:i/>
          <w:color w:val="000000"/>
          <w:sz w:val="20"/>
        </w:rPr>
        <w:t xml:space="preserve">Evaluation of Disclosure Controls and Procedures. </w:t>
      </w:r>
      <w:r>
        <w:rPr>
          <w:rFonts w:ascii="Times New Roman;serif" w:hAnsi="Times New Roman;serif"/>
          <w:b w:val="false"/>
          <w:color w:val="000000"/>
          <w:sz w:val="20"/>
        </w:rPr>
        <w:t>An evaluation of the effectiveness of the design and operation of our “disclosure controls and procedures” (as defined in Rule 13a-15(e) under the Exchange Act), as of the end of the period covered by this Quarterly Report on Form 10-Q, was made under the supervision and with the participation of our management, including our Chief Executive Officer and Chief Financial Officer. Based upon this evaluation, our Chief Executive Officer and Chief Financial Officer have concluded that our disclosure controls and procedures (a) were effective to ensure that information required to be disclosed by us in reports filed or submitted under the Exchange Act is timely recorded, processed, summarized and reported and (b) included, without limitation, controls and procedures designed to ensure that information required to be disclosed by us in reports filed or submitted under the Exchange Act is accumulated and communicated to our management, including our Chief Executive Officer and Chief Financial Officer, as appropriate, to allow timely decisions regarding required disclosure.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540"/>
        <w:jc w:val="left"/>
        <w:rPr/>
      </w:pPr>
      <w:r>
        <w:rPr>
          <w:rFonts w:ascii="Times New Roman;serif" w:hAnsi="Times New Roman;serif"/>
          <w:b/>
          <w:i/>
          <w:color w:val="000000"/>
          <w:sz w:val="20"/>
        </w:rPr>
        <w:t>Changes in Internal Control over Financial Reporting</w:t>
      </w:r>
      <w:r>
        <w:rPr>
          <w:rFonts w:ascii="Times New Roman;serif" w:hAnsi="Times New Roman;serif"/>
          <w:b w:val="false"/>
          <w:color w:val="000000"/>
          <w:sz w:val="20"/>
        </w:rPr>
        <w:t>. There have not been any changes in our internal control over financial reporting during the three months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429" w:type="dxa"/>
        <w:jc w:val="left"/>
        <w:tblInd w:w="0" w:type="dxa"/>
        <w:tblLayout w:type="fixed"/>
        <w:tblCellMar>
          <w:top w:w="28" w:type="dxa"/>
          <w:left w:w="28" w:type="dxa"/>
          <w:bottom w:w="28" w:type="dxa"/>
          <w:right w:w="28" w:type="dxa"/>
        </w:tblCellMar>
      </w:tblPr>
      <w:tblGrid>
        <w:gridCol w:w="255"/>
        <w:gridCol w:w="224"/>
        <w:gridCol w:w="226"/>
        <w:gridCol w:w="504"/>
        <w:gridCol w:w="504"/>
        <w:gridCol w:w="716"/>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Legal Proceedings</w:t>
            </w:r>
          </w:p>
        </w:tc>
      </w:tr>
    </w:tbl>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From time to time in the ordinary course of business, we are subject to claims, asserted or unasserted, or named as a party to lawsuits or investigations. Litigation can be expensive and disruptive to normal business operations. Moreover, the results of legal proceedings cannot be predicted with any certainty, and in the case of more complex legal proceedings the results are difficult to predict at all. We are not aware of any asserted or unasserted legal proceedings or claims that we believe would have a material adverse effect on our financial condition or our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055" w:type="dxa"/>
        <w:jc w:val="left"/>
        <w:tblInd w:w="0" w:type="dxa"/>
        <w:tblLayout w:type="fixed"/>
        <w:tblCellMar>
          <w:top w:w="28" w:type="dxa"/>
          <w:left w:w="28" w:type="dxa"/>
          <w:bottom w:w="28" w:type="dxa"/>
          <w:right w:w="28" w:type="dxa"/>
        </w:tblCellMar>
      </w:tblPr>
      <w:tblGrid>
        <w:gridCol w:w="304"/>
        <w:gridCol w:w="268"/>
        <w:gridCol w:w="269"/>
        <w:gridCol w:w="355"/>
        <w:gridCol w:w="355"/>
        <w:gridCol w:w="50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1A.</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Risk Factors</w:t>
            </w:r>
          </w:p>
        </w:tc>
      </w:tr>
    </w:tbl>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in any risk factors previously disclosed in Part I, Item 1A, of our Annual Report on Form 10-K for the year ended December 31, 2025 filed with the SEC. We may disclose changes to risk factors or disclose additional factors from time to time in our future filings with the SEC. Additional risks and uncertainties not presently known to us or that we currently deem immaterial also may impair our business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850" w:type="dxa"/>
        <w:jc w:val="left"/>
        <w:tblInd w:w="0" w:type="dxa"/>
        <w:tblLayout w:type="fixed"/>
        <w:tblCellMar>
          <w:top w:w="28" w:type="dxa"/>
          <w:left w:w="28" w:type="dxa"/>
          <w:bottom w:w="28" w:type="dxa"/>
          <w:right w:w="28" w:type="dxa"/>
        </w:tblCellMar>
      </w:tblPr>
      <w:tblGrid>
        <w:gridCol w:w="255"/>
        <w:gridCol w:w="224"/>
        <w:gridCol w:w="226"/>
        <w:gridCol w:w="1507"/>
        <w:gridCol w:w="1507"/>
        <w:gridCol w:w="2131"/>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Unregistered Sales of Equity Securities and Use of Proceeds</w:t>
            </w:r>
          </w:p>
        </w:tc>
      </w:tr>
    </w:tbl>
    <w:p>
      <w:pPr>
        <w:pStyle w:val="TextBody"/>
        <w:bidi w:val="0"/>
        <w:spacing w:lineRule="auto" w:line="288" w:before="0" w:after="18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Unregistered sales of equity securities.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18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Repurchases of our common stock.</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with respect to purchases we made of our common stock during the three months ended June 30, 2026:</w:t>
      </w:r>
    </w:p>
    <w:tbl>
      <w:tblPr>
        <w:tblW w:w="8664" w:type="dxa"/>
        <w:jc w:val="left"/>
        <w:tblInd w:w="0" w:type="dxa"/>
        <w:tblLayout w:type="fixed"/>
        <w:tblCellMar>
          <w:top w:w="28" w:type="dxa"/>
          <w:left w:w="28" w:type="dxa"/>
          <w:bottom w:w="28" w:type="dxa"/>
          <w:right w:w="28" w:type="dxa"/>
        </w:tblCellMar>
      </w:tblPr>
      <w:tblGrid>
        <w:gridCol w:w="944"/>
        <w:gridCol w:w="831"/>
        <w:gridCol w:w="835"/>
        <w:gridCol w:w="308"/>
        <w:gridCol w:w="308"/>
        <w:gridCol w:w="296"/>
        <w:gridCol w:w="109"/>
        <w:gridCol w:w="109"/>
        <w:gridCol w:w="109"/>
        <w:gridCol w:w="211"/>
        <w:gridCol w:w="721"/>
        <w:gridCol w:w="109"/>
        <w:gridCol w:w="109"/>
        <w:gridCol w:w="109"/>
        <w:gridCol w:w="109"/>
        <w:gridCol w:w="440"/>
        <w:gridCol w:w="440"/>
        <w:gridCol w:w="441"/>
        <w:gridCol w:w="109"/>
        <w:gridCol w:w="109"/>
        <w:gridCol w:w="109"/>
        <w:gridCol w:w="318"/>
        <w:gridCol w:w="1248"/>
        <w:gridCol w:w="233"/>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Number of</w:t>
              <w:br/>
              <w:t>Shares</w:t>
              <w:br/>
              <w:t>Purchased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Price</w:t>
              <w:br/>
              <w:t>Paid per</w:t>
              <w:b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Number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Purchased as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Part of Publicly</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Announced</w:t>
            </w:r>
          </w:p>
          <w:p>
            <w:pPr>
              <w:pStyle w:val="TableContents"/>
              <w:bidi w:val="0"/>
              <w:spacing w:lineRule="auto" w:line="240" w:before="0" w:after="0"/>
              <w:jc w:val="center"/>
              <w:rPr/>
            </w:pPr>
            <w:r>
              <w:rPr>
                <w:rFonts w:ascii="Times New Roman;serif" w:hAnsi="Times New Roman;serif"/>
                <w:b/>
                <w:color w:val="000000"/>
                <w:sz w:val="16"/>
              </w:rPr>
              <w:t xml:space="preserve">Program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w:t>
              <w:br/>
              <w:t>Dollar Value of Shares</w:t>
              <w:br/>
              <w:t>That May Yet Be</w:t>
              <w:br/>
              <w:t>Purchased</w:t>
              <w:br/>
              <w:t>Under the</w:t>
              <w:br/>
              <w:t>Program</w:t>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0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price per share data)</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through April 30, 2026</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364,929 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through May 31, 2026</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(5)</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152,941 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through June 30, 2026</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(6)</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344,024 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2,591 </w:t>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On June 2, 2016, our Board of Directors authorized a stock repurchase program (the “Repurchase Program”), which was most recently increased by $370.0 million to an aggregate authorization of $2.6 billion on June 3, 2026. No time limit has been established for the completion of the Repurchase Program, and the Repurchase Program may be suspended, discontinued or replaced by the Board of Directors at any time without prior notice. During the quarter ended June 30, 2026, we repurchased an aggregate of 2,591,133 shares of our common stock under the Repurchase Program at an average price of $150.84 per share for a total cost of approximately $390.9 million.</w:t>
      </w:r>
    </w:p>
    <w:p>
      <w:pPr>
        <w:pStyle w:val="TextBody"/>
        <w:bidi w:val="0"/>
        <w:spacing w:lineRule="auto" w:line="288" w:before="0" w:after="18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Includes 1,770 shares of common stock withheld to cover payroll tax withholdings.</w:t>
      </w:r>
    </w:p>
    <w:p>
      <w:pPr>
        <w:pStyle w:val="TextBody"/>
        <w:bidi w:val="0"/>
        <w:spacing w:lineRule="auto" w:line="288" w:before="0" w:after="180"/>
        <w:ind w:left="0" w:right="0" w:hanging="720"/>
        <w:jc w:val="left"/>
        <w:rPr/>
      </w:pPr>
      <w:r>
        <w:rPr>
          <w:rFonts w:ascii="Times New Roman;serif" w:hAnsi="Times New Roman;serif"/>
          <w:b w:val="false"/>
          <w:color w:val="000000"/>
          <w:sz w:val="13"/>
        </w:rPr>
        <w:t>(3)</w:t>
      </w:r>
      <w:r>
        <w:rPr>
          <w:rFonts w:ascii="Times New Roman;serif" w:hAnsi="Times New Roman;serif"/>
          <w:b w:val="false"/>
          <w:color w:val="000000"/>
          <w:sz w:val="20"/>
        </w:rPr>
        <w:t>Includes 174 shares of common stock withheld to cover payroll tax withholdings.</w:t>
      </w:r>
    </w:p>
    <w:p>
      <w:pPr>
        <w:pStyle w:val="TextBody"/>
        <w:bidi w:val="0"/>
        <w:spacing w:lineRule="auto" w:line="288" w:before="0" w:after="180"/>
        <w:ind w:left="0" w:right="0" w:hanging="720"/>
        <w:jc w:val="left"/>
        <w:rPr/>
      </w:pPr>
      <w:r>
        <w:rPr>
          <w:rFonts w:ascii="Times New Roman;serif" w:hAnsi="Times New Roman;serif"/>
          <w:b w:val="false"/>
          <w:color w:val="000000"/>
          <w:sz w:val="13"/>
        </w:rPr>
        <w:t>(4)</w:t>
      </w:r>
      <w:r>
        <w:rPr>
          <w:rFonts w:ascii="Times New Roman;serif" w:hAnsi="Times New Roman;serif"/>
          <w:b w:val="false"/>
          <w:color w:val="000000"/>
          <w:sz w:val="20"/>
        </w:rPr>
        <w:t>Includes 11,629 shares of common stock withheld to cover payroll tax withholdings.</w:t>
      </w:r>
    </w:p>
    <w:p>
      <w:pPr>
        <w:pStyle w:val="TextBody"/>
        <w:bidi w:val="0"/>
        <w:spacing w:lineRule="auto" w:line="288" w:before="0" w:after="180"/>
        <w:ind w:left="0" w:right="0" w:hanging="720"/>
        <w:jc w:val="left"/>
        <w:rPr/>
      </w:pPr>
      <w:r>
        <w:rPr>
          <w:rFonts w:ascii="Times New Roman;serif" w:hAnsi="Times New Roman;serif"/>
          <w:b w:val="false"/>
          <w:color w:val="000000"/>
          <w:sz w:val="13"/>
        </w:rPr>
        <w:t>(5)</w:t>
      </w:r>
      <w:r>
        <w:rPr>
          <w:rFonts w:ascii="Times New Roman;serif" w:hAnsi="Times New Roman;serif"/>
          <w:b w:val="false"/>
          <w:color w:val="000000"/>
          <w:sz w:val="20"/>
        </w:rPr>
        <w:t>During the month ended May 31, 2026, we repurchased and retired 1,381,913 shares of common stock, at an average price per share of $153.38, for an aggregate cost of $212.0 million.</w:t>
      </w:r>
    </w:p>
    <w:p>
      <w:pPr>
        <w:pStyle w:val="TextBody"/>
        <w:bidi w:val="0"/>
        <w:spacing w:lineRule="auto" w:line="288" w:before="0" w:after="180"/>
        <w:ind w:left="0" w:right="0" w:hanging="720"/>
        <w:jc w:val="left"/>
        <w:rPr/>
      </w:pPr>
      <w:r>
        <w:rPr>
          <w:rFonts w:ascii="Times New Roman;serif" w:hAnsi="Times New Roman;serif"/>
          <w:b w:val="false"/>
          <w:color w:val="000000"/>
          <w:sz w:val="13"/>
        </w:rPr>
        <w:t>(6)</w:t>
      </w:r>
      <w:r>
        <w:rPr>
          <w:rFonts w:ascii="Times New Roman;serif" w:hAnsi="Times New Roman;serif"/>
          <w:b w:val="false"/>
          <w:color w:val="000000"/>
          <w:sz w:val="20"/>
        </w:rPr>
        <w:t>During the month ended June 30, 2026, we repurchased and retired 1,209,220 shares of common stock, at an average price per share of $147.94, for an aggregate cost of $178.9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tbl>
      <w:tblPr>
        <w:tblW w:w="3510" w:type="dxa"/>
        <w:jc w:val="left"/>
        <w:tblInd w:w="0" w:type="dxa"/>
        <w:tblLayout w:type="fixed"/>
        <w:tblCellMar>
          <w:top w:w="28" w:type="dxa"/>
          <w:left w:w="28" w:type="dxa"/>
          <w:bottom w:w="28" w:type="dxa"/>
          <w:right w:w="28" w:type="dxa"/>
        </w:tblCellMar>
      </w:tblPr>
      <w:tblGrid>
        <w:gridCol w:w="255"/>
        <w:gridCol w:w="224"/>
        <w:gridCol w:w="226"/>
        <w:gridCol w:w="819"/>
        <w:gridCol w:w="819"/>
        <w:gridCol w:w="1167"/>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Defaults Upon Senior Securities</w:t>
            </w:r>
          </w:p>
        </w:tc>
      </w:tr>
    </w:tbl>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865" w:type="dxa"/>
        <w:jc w:val="left"/>
        <w:tblInd w:w="0" w:type="dxa"/>
        <w:tblLayout w:type="fixed"/>
        <w:tblCellMar>
          <w:top w:w="28" w:type="dxa"/>
          <w:left w:w="28" w:type="dxa"/>
          <w:bottom w:w="28" w:type="dxa"/>
          <w:right w:w="28" w:type="dxa"/>
        </w:tblCellMar>
      </w:tblPr>
      <w:tblGrid>
        <w:gridCol w:w="255"/>
        <w:gridCol w:w="224"/>
        <w:gridCol w:w="226"/>
        <w:gridCol w:w="632"/>
        <w:gridCol w:w="632"/>
        <w:gridCol w:w="896"/>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Mine Safety Disclosures</w:t>
            </w:r>
          </w:p>
        </w:tc>
      </w:tr>
    </w:tbl>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429" w:type="dxa"/>
        <w:jc w:val="left"/>
        <w:tblInd w:w="0" w:type="dxa"/>
        <w:tblLayout w:type="fixed"/>
        <w:tblCellMar>
          <w:top w:w="28" w:type="dxa"/>
          <w:left w:w="28" w:type="dxa"/>
          <w:bottom w:w="28" w:type="dxa"/>
          <w:right w:w="28" w:type="dxa"/>
        </w:tblCellMar>
      </w:tblPr>
      <w:tblGrid>
        <w:gridCol w:w="255"/>
        <w:gridCol w:w="224"/>
        <w:gridCol w:w="226"/>
        <w:gridCol w:w="504"/>
        <w:gridCol w:w="504"/>
        <w:gridCol w:w="716"/>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Information</w:t>
            </w:r>
          </w:p>
        </w:tc>
      </w:tr>
    </w:tbl>
    <w:p>
      <w:pPr>
        <w:pStyle w:val="TextBody"/>
        <w:bidi w:val="0"/>
        <w:spacing w:lineRule="auto" w:line="288" w:before="0" w:after="18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(c) Trading plans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quarter ended June 30, 2026, no director or Section 16 officer of the Company adopted or terminated any Rule 10b5-1 trading arrangements or non-Rule 10b5-1 trading arrangements (in each case, as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tbl>
      <w:tblPr>
        <w:tblW w:w="2069" w:type="dxa"/>
        <w:jc w:val="left"/>
        <w:tblInd w:w="0" w:type="dxa"/>
        <w:tblLayout w:type="fixed"/>
        <w:tblCellMar>
          <w:top w:w="28" w:type="dxa"/>
          <w:left w:w="28" w:type="dxa"/>
          <w:bottom w:w="28" w:type="dxa"/>
          <w:right w:w="28" w:type="dxa"/>
        </w:tblCellMar>
      </w:tblPr>
      <w:tblGrid>
        <w:gridCol w:w="239"/>
        <w:gridCol w:w="210"/>
        <w:gridCol w:w="211"/>
        <w:gridCol w:w="412"/>
        <w:gridCol w:w="412"/>
        <w:gridCol w:w="585"/>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Item 6.</w:t>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INDEX</w:t>
            </w:r>
          </w:p>
        </w:tc>
      </w:tr>
    </w:tbl>
    <w:tbl>
      <w:tblPr>
        <w:tblW w:w="10205" w:type="dxa"/>
        <w:jc w:val="left"/>
        <w:tblInd w:w="0" w:type="dxa"/>
        <w:tblLayout w:type="fixed"/>
        <w:tblCellMar>
          <w:top w:w="28" w:type="dxa"/>
          <w:left w:w="28" w:type="dxa"/>
          <w:bottom w:w="28" w:type="dxa"/>
          <w:right w:w="28" w:type="dxa"/>
        </w:tblCellMar>
      </w:tblPr>
      <w:tblGrid>
        <w:gridCol w:w="280"/>
        <w:gridCol w:w="247"/>
        <w:gridCol w:w="248"/>
        <w:gridCol w:w="2727"/>
        <w:gridCol w:w="2452"/>
        <w:gridCol w:w="2462"/>
        <w:gridCol w:w="223"/>
        <w:gridCol w:w="176"/>
        <w:gridCol w:w="131"/>
        <w:gridCol w:w="223"/>
        <w:gridCol w:w="223"/>
        <w:gridCol w:w="189"/>
        <w:gridCol w:w="230"/>
        <w:gridCol w:w="193"/>
        <w:gridCol w:w="201"/>
      </w:tblGrid>
      <w:tr>
        <w:trPr/>
        <w:tc>
          <w:tcPr>
            <w:tcW w:w="28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727"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Exhibit Number</w:t>
            </w:r>
          </w:p>
        </w:tc>
        <w:tc>
          <w:tcPr>
            <w:tcW w:w="7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Exhibit Description</w:t>
            </w:r>
          </w:p>
        </w:tc>
        <w:tc>
          <w:tcPr>
            <w:tcW w:w="5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Form</w:t>
            </w:r>
          </w:p>
        </w:tc>
        <w:tc>
          <w:tcPr>
            <w:tcW w:w="6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Exhibit</w:t>
            </w:r>
          </w:p>
        </w:tc>
        <w:tc>
          <w:tcPr>
            <w:tcW w:w="6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Filing Date</w:t>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76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18"/>
                  <w:u w:val="single"/>
                </w:rPr>
                <w:t>Articles of Incorporation of FTI Consulting, Inc., as Amended and Restated</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99.2</w:t>
            </w:r>
          </w:p>
        </w:tc>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05/23/2003</w:t>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76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18"/>
                  <w:u w:val="single"/>
                </w:rPr>
                <w:t>Articles of Amendment dated June 1, 2011 to Charter of FTI Consulting, Inc.</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06/02/2011</w:t>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w:t>
            </w:r>
          </w:p>
        </w:tc>
        <w:tc>
          <w:tcPr>
            <w:tcW w:w="76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18"/>
                  <w:u w:val="single"/>
                </w:rPr>
                <w:t>Bylaws of FTI Consulting, Inc., as Amended and Restated Adopted February 21, 2023</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02/21/2023</w:t>
            </w:r>
          </w:p>
        </w:tc>
      </w:tr>
      <w:tr>
        <w:trPr/>
        <w:tc>
          <w:tcPr>
            <w:tcW w:w="775" w:type="dxa"/>
            <w:gridSpan w:val="3"/>
            <w:tcBorders/>
            <w:vAlign w:val="center"/>
          </w:tcPr>
          <w:p>
            <w:pPr>
              <w:pStyle w:val="TableContents"/>
              <w:bidi w:val="0"/>
              <w:spacing w:before="0" w:after="283"/>
              <w:jc w:val="left"/>
              <w:rPr>
                <w:sz w:val="4"/>
                <w:szCs w:val="4"/>
              </w:rPr>
            </w:pPr>
            <w:r>
              <w:rPr>
                <w:sz w:val="4"/>
                <w:szCs w:val="4"/>
              </w:rPr>
            </w:r>
          </w:p>
        </w:tc>
        <w:tc>
          <w:tcPr>
            <w:tcW w:w="7641" w:type="dxa"/>
            <w:gridSpan w:val="3"/>
            <w:tcBorders/>
            <w:vAlign w:val="center"/>
          </w:tcPr>
          <w:p>
            <w:pPr>
              <w:pStyle w:val="TableContents"/>
              <w:bidi w:val="0"/>
              <w:spacing w:before="0" w:after="283"/>
              <w:jc w:val="left"/>
              <w:rPr>
                <w:sz w:val="4"/>
                <w:szCs w:val="4"/>
              </w:rPr>
            </w:pPr>
            <w:r>
              <w:rPr>
                <w:sz w:val="4"/>
                <w:szCs w:val="4"/>
              </w:rPr>
            </w:r>
          </w:p>
        </w:tc>
        <w:tc>
          <w:tcPr>
            <w:tcW w:w="530" w:type="dxa"/>
            <w:gridSpan w:val="3"/>
            <w:tcBorders/>
            <w:vAlign w:val="center"/>
          </w:tcPr>
          <w:p>
            <w:pPr>
              <w:pStyle w:val="TableContents"/>
              <w:bidi w:val="0"/>
              <w:spacing w:before="0" w:after="283"/>
              <w:jc w:val="left"/>
              <w:rPr>
                <w:sz w:val="4"/>
                <w:szCs w:val="4"/>
              </w:rPr>
            </w:pPr>
            <w:r>
              <w:rPr>
                <w:sz w:val="4"/>
                <w:szCs w:val="4"/>
              </w:rPr>
            </w:r>
          </w:p>
        </w:tc>
        <w:tc>
          <w:tcPr>
            <w:tcW w:w="635"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r>
      <w:tr>
        <w:trPr/>
        <w:tc>
          <w:tcPr>
            <w:tcW w:w="775" w:type="dxa"/>
            <w:gridSpan w:val="3"/>
            <w:tcBorders/>
            <w:vAlign w:val="center"/>
          </w:tcPr>
          <w:p>
            <w:pPr>
              <w:pStyle w:val="TableContents"/>
              <w:bidi w:val="0"/>
              <w:spacing w:before="0" w:after="283"/>
              <w:jc w:val="left"/>
              <w:rPr>
                <w:sz w:val="4"/>
                <w:szCs w:val="4"/>
              </w:rPr>
            </w:pPr>
            <w:r>
              <w:rPr>
                <w:sz w:val="4"/>
                <w:szCs w:val="4"/>
              </w:rPr>
            </w:r>
          </w:p>
        </w:tc>
        <w:tc>
          <w:tcPr>
            <w:tcW w:w="7641" w:type="dxa"/>
            <w:gridSpan w:val="3"/>
            <w:tcBorders/>
            <w:vAlign w:val="center"/>
          </w:tcPr>
          <w:p>
            <w:pPr>
              <w:pStyle w:val="TableContents"/>
              <w:bidi w:val="0"/>
              <w:spacing w:before="0" w:after="283"/>
              <w:jc w:val="left"/>
              <w:rPr>
                <w:sz w:val="4"/>
                <w:szCs w:val="4"/>
              </w:rPr>
            </w:pPr>
            <w:r>
              <w:rPr>
                <w:sz w:val="4"/>
                <w:szCs w:val="4"/>
              </w:rPr>
            </w:r>
          </w:p>
        </w:tc>
        <w:tc>
          <w:tcPr>
            <w:tcW w:w="530" w:type="dxa"/>
            <w:gridSpan w:val="3"/>
            <w:tcBorders/>
            <w:vAlign w:val="center"/>
          </w:tcPr>
          <w:p>
            <w:pPr>
              <w:pStyle w:val="TableContents"/>
              <w:bidi w:val="0"/>
              <w:spacing w:before="0" w:after="283"/>
              <w:jc w:val="left"/>
              <w:rPr>
                <w:sz w:val="4"/>
                <w:szCs w:val="4"/>
              </w:rPr>
            </w:pPr>
            <w:r>
              <w:rPr>
                <w:sz w:val="4"/>
                <w:szCs w:val="4"/>
              </w:rPr>
            </w:r>
          </w:p>
        </w:tc>
        <w:tc>
          <w:tcPr>
            <w:tcW w:w="635"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76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18"/>
                  <w:u w:val="single"/>
                </w:rPr>
                <w:t>Third Amendment and Restatement Agreement, dated as of June 30, 2026, by and among FTI Consulting, Inc., the Subsidiaries of the Company party thereto, as Guarantors, the Lenders party thereto and Bank of America, N.A., as administrative agent (including Annex B - Third Amended and Restated Credit Agreement, dated as of June 30, 2026, by and among FTI Consulting, Inc., the Subsidiaries of the Company party thereto, as Guarantors, the Lenders party thereto and Bank of America, N.A., as administrative agent)</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07/01/2026</w:t>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31.1*</w:t>
            </w:r>
          </w:p>
        </w:tc>
        <w:tc>
          <w:tcPr>
            <w:tcW w:w="76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ti63026-10qex311.htm">
              <w:r>
                <w:rPr>
                  <w:rStyle w:val="InternetLink"/>
                  <w:rFonts w:ascii="Times New Roman;serif" w:hAnsi="Times New Roman;serif"/>
                  <w:b w:val="false"/>
                  <w:color w:val="0000FF"/>
                  <w:sz w:val="18"/>
                  <w:u w:val="single"/>
                </w:rPr>
                <w:t>Certification of Principal Executive Officer pursuant to Rule 13a-14(a) and 15d-14(a) under the Securities Exchange Act of 1934, as amended (Section 302 of the Sarbanes-Oxley Act of 2002)</w:t>
              </w:r>
            </w:hyperlink>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31.2*</w:t>
            </w:r>
          </w:p>
        </w:tc>
        <w:tc>
          <w:tcPr>
            <w:tcW w:w="76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ti63026-10qex312.htm">
              <w:r>
                <w:rPr>
                  <w:rStyle w:val="InternetLink"/>
                  <w:rFonts w:ascii="Times New Roman;serif" w:hAnsi="Times New Roman;serif"/>
                  <w:b w:val="false"/>
                  <w:color w:val="0000FF"/>
                  <w:sz w:val="18"/>
                  <w:u w:val="single"/>
                </w:rPr>
                <w:t>Certification of Principal Financial Officer pursuant to Rule 13a-14(a) and 15d-14(a) under the Securities Exchange Act of 1934, as amended (Section 302 of the Sarbanes-Oxley Act of 2002)</w:t>
              </w:r>
            </w:hyperlink>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32.1**</w:t>
            </w:r>
          </w:p>
        </w:tc>
        <w:tc>
          <w:tcPr>
            <w:tcW w:w="76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ti63026-10qex321.htm">
              <w:r>
                <w:rPr>
                  <w:rStyle w:val="InternetLink"/>
                  <w:rFonts w:ascii="Times New Roman;serif" w:hAnsi="Times New Roman;serif"/>
                  <w:b w:val="false"/>
                  <w:color w:val="0000FF"/>
                  <w:sz w:val="18"/>
                  <w:u w:val="single"/>
                </w:rPr>
                <w:t>Certification of Principal Executive Officer Pursuant to 18 USC. Section 1350 (Section 906 of the Sarbanes-Oxley Act of 2002)</w:t>
              </w:r>
            </w:hyperlink>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32.2**</w:t>
            </w:r>
          </w:p>
        </w:tc>
        <w:tc>
          <w:tcPr>
            <w:tcW w:w="76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ti63026-10qex322.htm">
              <w:r>
                <w:rPr>
                  <w:rStyle w:val="InternetLink"/>
                  <w:rFonts w:ascii="Times New Roman;serif" w:hAnsi="Times New Roman;serif"/>
                  <w:b w:val="false"/>
                  <w:color w:val="0000FF"/>
                  <w:sz w:val="18"/>
                  <w:u w:val="single"/>
                </w:rPr>
                <w:t>Certification of Principal Financial Officer Pursuant to 18 USC. Section 1350 (Section 906 of the Sarbanes-Oxley Act of 2002)</w:t>
              </w:r>
            </w:hyperlink>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7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following financial information from the Quarterly Report on Form 10-Q of FTI Consulting, Inc., included herewith, and formatted in Inline XBRL (eXtensible Business Reporting Language): (i) Condensed Consolidated Balance Sheets as of June 30, 2026 and December 31, 2025; (ii) Condensed Consolidated Statements of Comprehensive Income for the three and six months ended June 30, 2026 and 2025; (iii) Condensed Consolidated Statements of Stockholders’ Equity for the three and six months ended June 30, 2026 and 2025; (iv) Condensed Consolidated Statements of Cash Flows for the six months ended June 30, 2026 and 2025; and (v) Notes to the Condensed Consolidated Financial Statements, tagged as blocks of text.</w:t>
            </w:r>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7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cover page from the Company’s Quarterly Report on Form 10-Q for the quarter ended June 30, 2026, formatted in Inline XBRL (included as Exhibit 101).</w:t>
            </w:r>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8"/>
        </w:rPr>
        <w:t>*</w:t>
      </w:r>
      <w:r>
        <w:rPr>
          <w:color w:val="000000"/>
        </w:rPr>
        <w:t xml:space="preserve"> </w:t>
      </w:r>
      <w:r>
        <w:rPr>
          <w:rFonts w:ascii="Times New Roman;serif" w:hAnsi="Times New Roman;serif"/>
          <w:b w:val="false"/>
          <w:color w:val="000000"/>
          <w:sz w:val="18"/>
        </w:rPr>
        <w:t>Filed herewith.</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Furnished herewith. This certification is deemed not filed for purposes of Section 18 of the Exchange Act, or otherwise subject to the liability of that section, nor shall it be deemed incorporated by reference into any filing under the Securities Act of 1933, as amended, or the Exchange Act.</w:t>
      </w:r>
    </w:p>
    <w:p>
      <w:pPr>
        <w:pStyle w:val="TextBody"/>
        <w:bidi w:val="0"/>
        <w:spacing w:lineRule="auto" w:line="288" w:before="0" w:after="0"/>
        <w:jc w:val="left"/>
        <w:rPr/>
      </w:pPr>
      <w:r>
        <w:rPr>
          <w:rFonts w:ascii="Times New Roman;serif" w:hAnsi="Times New Roman;serif"/>
          <w:b w:val="false"/>
          <w:color w:val="000000"/>
          <w:sz w:val="18"/>
        </w:rPr>
        <w:t>^</w:t>
      </w:r>
      <w:r>
        <w:rPr>
          <w:color w:val="000000"/>
        </w:rPr>
        <w:t xml:space="preserve"> </w:t>
      </w:r>
      <w:r>
        <w:rPr>
          <w:rFonts w:ascii="Times New Roman;serif" w:hAnsi="Times New Roman;serif"/>
          <w:b w:val="false"/>
          <w:color w:val="000000"/>
          <w:sz w:val="18"/>
        </w:rPr>
        <w:t>Pursuant to Item 601(a)(5) of Regulation S-K, certain exhibits and schedules have been omitted. The registrant hereby agrees to furnish a copy of any omitted exhibit or schedule to the Securities and Exchange Commission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July 30, 2026 </w:t>
      </w:r>
    </w:p>
    <w:p>
      <w:pPr>
        <w:pStyle w:val="TextBody"/>
        <w:bidi w:val="0"/>
        <w:spacing w:lineRule="auto" w:line="288" w:before="0" w:after="0"/>
        <w:jc w:val="left"/>
        <w:rPr>
          <w:color w:val="000000"/>
        </w:rPr>
      </w:pPr>
      <w:r>
        <w:rPr>
          <w:color w:val="000000"/>
        </w:rPr>
        <w:t> </w:t>
      </w:r>
    </w:p>
    <w:tbl>
      <w:tblPr>
        <w:tblW w:w="4047" w:type="dxa"/>
        <w:jc w:val="right"/>
        <w:tblInd w:w="0" w:type="dxa"/>
        <w:tblLayout w:type="fixed"/>
        <w:tblCellMar>
          <w:top w:w="28" w:type="dxa"/>
          <w:left w:w="28" w:type="dxa"/>
          <w:bottom w:w="28" w:type="dxa"/>
          <w:right w:w="28" w:type="dxa"/>
        </w:tblCellMar>
      </w:tblPr>
      <w:tblGrid>
        <w:gridCol w:w="257"/>
        <w:gridCol w:w="227"/>
        <w:gridCol w:w="227"/>
        <w:gridCol w:w="227"/>
        <w:gridCol w:w="227"/>
        <w:gridCol w:w="227"/>
        <w:gridCol w:w="772"/>
        <w:gridCol w:w="772"/>
        <w:gridCol w:w="1111"/>
      </w:tblGrid>
      <w:tr>
        <w:trPr/>
        <w:tc>
          <w:tcPr>
            <w:tcW w:w="2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404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CONSULTING, INC.</w:t>
            </w:r>
          </w:p>
        </w:tc>
      </w:tr>
      <w:tr>
        <w:trPr/>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BRENDAN J. KEATING</w:t>
            </w:r>
          </w:p>
        </w:tc>
      </w:tr>
      <w:tr>
        <w:trPr/>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Brendan J. Keating</w:t>
            </w:r>
          </w:p>
        </w:tc>
      </w:tr>
      <w:tr>
        <w:trPr/>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Chief Accounting Officer and </w:t>
              <w:br/>
              <w:t>Controller</w:t>
            </w:r>
          </w:p>
        </w:tc>
      </w:tr>
      <w:tr>
        <w:trPr/>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Steven H. Gunby, certify that:</w:t>
      </w:r>
    </w:p>
    <w:tbl>
      <w:tblPr>
        <w:tblW w:w="6642" w:type="dxa"/>
        <w:jc w:val="left"/>
        <w:tblInd w:w="0" w:type="dxa"/>
        <w:tblLayout w:type="fixed"/>
        <w:tblCellMar>
          <w:top w:w="28" w:type="dxa"/>
          <w:left w:w="28" w:type="dxa"/>
          <w:bottom w:w="28" w:type="dxa"/>
          <w:right w:w="28" w:type="dxa"/>
        </w:tblCellMar>
      </w:tblPr>
      <w:tblGrid>
        <w:gridCol w:w="124"/>
        <w:gridCol w:w="109"/>
        <w:gridCol w:w="109"/>
        <w:gridCol w:w="1843"/>
        <w:gridCol w:w="1843"/>
        <w:gridCol w:w="26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26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FTI Consulting,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July 30, 2026</w:t>
      </w:r>
    </w:p>
    <w:p>
      <w:pPr>
        <w:pStyle w:val="TextBody"/>
        <w:bidi w:val="0"/>
        <w:spacing w:lineRule="auto" w:line="288" w:before="0" w:after="0"/>
        <w:jc w:val="left"/>
        <w:rPr>
          <w:color w:val="000000"/>
        </w:rPr>
      </w:pPr>
      <w:r>
        <w:rPr>
          <w:color w:val="000000"/>
        </w:rPr>
        <w:t> </w:t>
      </w:r>
    </w:p>
    <w:tbl>
      <w:tblPr>
        <w:tblW w:w="3702" w:type="dxa"/>
        <w:jc w:val="right"/>
        <w:tblInd w:w="0" w:type="dxa"/>
        <w:tblLayout w:type="fixed"/>
        <w:tblCellMar>
          <w:top w:w="28" w:type="dxa"/>
          <w:left w:w="28" w:type="dxa"/>
          <w:bottom w:w="28" w:type="dxa"/>
          <w:right w:w="28" w:type="dxa"/>
        </w:tblCellMar>
      </w:tblPr>
      <w:tblGrid>
        <w:gridCol w:w="151"/>
        <w:gridCol w:w="134"/>
        <w:gridCol w:w="135"/>
        <w:gridCol w:w="109"/>
        <w:gridCol w:w="109"/>
        <w:gridCol w:w="109"/>
        <w:gridCol w:w="866"/>
        <w:gridCol w:w="866"/>
        <w:gridCol w:w="1223"/>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STEVEN H. GUNBY</w:t>
            </w:r>
          </w:p>
        </w:tc>
      </w:tr>
      <w:tr>
        <w:trPr/>
        <w:tc>
          <w:tcPr>
            <w:tcW w:w="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Steven H. Gunby</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Chief Executive Officer and Chairman</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Angela Nam, certify that:</w:t>
      </w:r>
    </w:p>
    <w:tbl>
      <w:tblPr>
        <w:tblW w:w="6642" w:type="dxa"/>
        <w:jc w:val="left"/>
        <w:tblInd w:w="0" w:type="dxa"/>
        <w:tblLayout w:type="fixed"/>
        <w:tblCellMar>
          <w:top w:w="28" w:type="dxa"/>
          <w:left w:w="28" w:type="dxa"/>
          <w:bottom w:w="28" w:type="dxa"/>
          <w:right w:w="28" w:type="dxa"/>
        </w:tblCellMar>
      </w:tblPr>
      <w:tblGrid>
        <w:gridCol w:w="124"/>
        <w:gridCol w:w="109"/>
        <w:gridCol w:w="109"/>
        <w:gridCol w:w="1843"/>
        <w:gridCol w:w="1843"/>
        <w:gridCol w:w="26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26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FTI Consulting,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July 30, 2026</w:t>
      </w:r>
    </w:p>
    <w:p>
      <w:pPr>
        <w:pStyle w:val="TextBody"/>
        <w:bidi w:val="0"/>
        <w:spacing w:lineRule="auto" w:line="288" w:before="0" w:after="0"/>
        <w:jc w:val="left"/>
        <w:rPr>
          <w:color w:val="000000"/>
        </w:rPr>
      </w:pPr>
      <w:r>
        <w:rPr>
          <w:color w:val="000000"/>
        </w:rPr>
        <w:t> </w:t>
      </w:r>
    </w:p>
    <w:tbl>
      <w:tblPr>
        <w:tblW w:w="2861" w:type="dxa"/>
        <w:jc w:val="right"/>
        <w:tblInd w:w="0" w:type="dxa"/>
        <w:tblLayout w:type="fixed"/>
        <w:tblCellMar>
          <w:top w:w="28" w:type="dxa"/>
          <w:left w:w="28" w:type="dxa"/>
          <w:bottom w:w="28" w:type="dxa"/>
          <w:right w:w="28" w:type="dxa"/>
        </w:tblCellMar>
      </w:tblPr>
      <w:tblGrid>
        <w:gridCol w:w="151"/>
        <w:gridCol w:w="134"/>
        <w:gridCol w:w="135"/>
        <w:gridCol w:w="109"/>
        <w:gridCol w:w="109"/>
        <w:gridCol w:w="109"/>
        <w:gridCol w:w="619"/>
        <w:gridCol w:w="619"/>
        <w:gridCol w:w="876"/>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ANGELA NAM</w:t>
            </w:r>
          </w:p>
        </w:tc>
      </w:tr>
      <w:tr>
        <w:trPr/>
        <w:tc>
          <w:tcPr>
            <w:tcW w:w="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Angela Nam</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Chief Financial Officer</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FTI Consulting, Inc. (the “Company”) on Form 10-Q for the quarter ended June 30, 2026, as filed with the Securities and Exchange Commission on the date hereof (the “Report”), I, Steven H. Gunby, Chief Executive Officer and Chairman (principal executive officer) of the Company, certify, pursuant to 18 U.S.C. Section 1350, as adopted pursuant to Section 906 of the Sarbanes-Oxley Act of 2002, that to the best of my knowledge: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Section 15(d) of the Securities Exchange Act of 1934, as amended;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30, 2026</w:t>
      </w:r>
    </w:p>
    <w:p>
      <w:pPr>
        <w:pStyle w:val="TextBody"/>
        <w:bidi w:val="0"/>
        <w:spacing w:lineRule="auto" w:line="288" w:before="0" w:after="0"/>
        <w:jc w:val="left"/>
        <w:rPr>
          <w:color w:val="000000"/>
        </w:rPr>
      </w:pPr>
      <w:r>
        <w:rPr>
          <w:color w:val="000000"/>
        </w:rPr>
        <w:t> </w:t>
      </w:r>
    </w:p>
    <w:tbl>
      <w:tblPr>
        <w:tblW w:w="3702" w:type="dxa"/>
        <w:jc w:val="right"/>
        <w:tblInd w:w="0" w:type="dxa"/>
        <w:tblLayout w:type="fixed"/>
        <w:tblCellMar>
          <w:top w:w="28" w:type="dxa"/>
          <w:left w:w="28" w:type="dxa"/>
          <w:bottom w:w="28" w:type="dxa"/>
          <w:right w:w="28" w:type="dxa"/>
        </w:tblCellMar>
      </w:tblPr>
      <w:tblGrid>
        <w:gridCol w:w="151"/>
        <w:gridCol w:w="134"/>
        <w:gridCol w:w="135"/>
        <w:gridCol w:w="109"/>
        <w:gridCol w:w="109"/>
        <w:gridCol w:w="109"/>
        <w:gridCol w:w="866"/>
        <w:gridCol w:w="866"/>
        <w:gridCol w:w="1223"/>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STEVEN H. GUNBY</w:t>
            </w:r>
          </w:p>
        </w:tc>
      </w:tr>
      <w:tr>
        <w:trPr/>
        <w:tc>
          <w:tcPr>
            <w:tcW w:w="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Steven H. Gunby</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Chief Executive Officer and Chairman</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executive officer)</w:t>
            </w:r>
          </w:p>
        </w:tc>
      </w:tr>
    </w:tbl>
    <w:p>
      <w:pPr>
        <w:pStyle w:val="TextBody"/>
        <w:bidi w:val="0"/>
        <w:spacing w:lineRule="auto" w:line="288" w:before="0" w:after="0"/>
        <w:jc w:val="left"/>
        <w:rPr>
          <w:color w:val="000000"/>
        </w:rPr>
      </w:pPr>
      <w:r>
        <w:rPr>
          <w:color w:val="000000"/>
        </w:rPr>
        <w:t> </w:t>
      </w:r>
    </w:p>
    <w:p>
      <w:pPr>
        <w:pStyle w:val="TextBody"/>
        <w:bidi w:val="0"/>
        <w:spacing w:lineRule="auto" w:line="288"/>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FTI Consulting, Inc. (the “Company”) on Form 10-Q for the quarter ended June 30, 2026, as filed with the Securities and Exchange Commission on the date hereof (the “Report”), I, Angela Nam, Chief Financial Officer (principal financial officer) of the Company, certify, pursuant to 18 U.S.C. Section 1350, as adopted pursuant to Section 906 of the Sarbanes-Oxley Act of 2002, that to the best of my knowledge: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Section 15(d) of the Securities Exchange Act of 1934, as amended;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30, 2026</w:t>
      </w:r>
    </w:p>
    <w:p>
      <w:pPr>
        <w:pStyle w:val="TextBody"/>
        <w:bidi w:val="0"/>
        <w:spacing w:lineRule="auto" w:line="288" w:before="0" w:after="0"/>
        <w:jc w:val="left"/>
        <w:rPr>
          <w:color w:val="000000"/>
        </w:rPr>
      </w:pPr>
      <w:r>
        <w:rPr>
          <w:color w:val="000000"/>
        </w:rPr>
        <w:t> </w:t>
      </w:r>
    </w:p>
    <w:tbl>
      <w:tblPr>
        <w:tblW w:w="2861" w:type="dxa"/>
        <w:jc w:val="right"/>
        <w:tblInd w:w="0" w:type="dxa"/>
        <w:tblLayout w:type="fixed"/>
        <w:tblCellMar>
          <w:top w:w="28" w:type="dxa"/>
          <w:left w:w="28" w:type="dxa"/>
          <w:bottom w:w="28" w:type="dxa"/>
          <w:right w:w="28" w:type="dxa"/>
        </w:tblCellMar>
      </w:tblPr>
      <w:tblGrid>
        <w:gridCol w:w="151"/>
        <w:gridCol w:w="134"/>
        <w:gridCol w:w="135"/>
        <w:gridCol w:w="109"/>
        <w:gridCol w:w="109"/>
        <w:gridCol w:w="109"/>
        <w:gridCol w:w="619"/>
        <w:gridCol w:w="619"/>
        <w:gridCol w:w="876"/>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11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ANGELA NAM</w:t>
            </w:r>
          </w:p>
        </w:tc>
      </w:tr>
      <w:tr>
        <w:trPr/>
        <w:tc>
          <w:tcPr>
            <w:tcW w:w="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Angela Nam</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Chief Financial Officer</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financial officer)</w:t>
            </w:r>
          </w:p>
        </w:tc>
      </w:tr>
    </w:tbl>
    <w:p>
      <w:pPr>
        <w:pStyle w:val="TextBody"/>
        <w:bidi w:val="0"/>
        <w:spacing w:lineRule="auto" w:line="288" w:before="0" w:after="0"/>
        <w:jc w:val="left"/>
        <w:rPr>
          <w:color w:val="000000"/>
        </w:rPr>
      </w:pPr>
      <w:r>
        <w:rPr>
          <w:color w:val="000000"/>
        </w:rPr>
        <w:t> </w:t>
      </w:r>
    </w:p>
    <w:p>
      <w:pPr>
        <w:pStyle w:val="TextBody"/>
        <w:bidi w:val="0"/>
        <w:spacing w:lineRule="auto" w:line="288"/>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87936/000102140803008198/dex992.txt" TargetMode="External"/><Relationship Id="rId3" Type="http://schemas.openxmlformats.org/officeDocument/2006/relationships/hyperlink" Target="https://www.sec.gov/Archives/edgar/data/887936/000119312511157222/dex31.htm" TargetMode="External"/><Relationship Id="rId4" Type="http://schemas.openxmlformats.org/officeDocument/2006/relationships/hyperlink" Target="https://www.sec.gov/Archives/edgar/data/887936/000119312523043569/d465351dex31.htm" TargetMode="External"/><Relationship Id="rId5" Type="http://schemas.openxmlformats.org/officeDocument/2006/relationships/hyperlink" Target="https://www.sec.gov/Archives/edgar/data/887936/000119312526291542/fcn-ex10_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20610</Words>
  <Characters>114173</Characters>
  <CharactersWithSpaces>133022</CharactersWithSpaces>
  <Paragraphs>3906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